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6B7CA" w14:textId="77777777" w:rsidR="00D5413C" w:rsidRPr="0090237D" w:rsidRDefault="00587406">
      <w:pPr>
        <w:pStyle w:val="Photo"/>
        <w:rPr>
          <w:color w:val="auto"/>
        </w:rPr>
      </w:pPr>
      <w:bookmarkStart w:id="0" w:name="_Toc321147011"/>
      <w:bookmarkStart w:id="1" w:name="_Toc318189312"/>
      <w:bookmarkStart w:id="2" w:name="_Toc318188327"/>
      <w:bookmarkStart w:id="3" w:name="_Toc318188227"/>
      <w:bookmarkStart w:id="4" w:name="_Toc321147149"/>
      <w:r w:rsidRPr="0090237D">
        <w:rPr>
          <w:noProof/>
          <w:color w:val="auto"/>
          <w:lang w:val="en-CA" w:eastAsia="en-CA"/>
        </w:rPr>
        <w:drawing>
          <wp:inline distT="0" distB="0" distL="0" distR="0" wp14:anchorId="1837DA8D" wp14:editId="31C80D71">
            <wp:extent cx="4431792" cy="1804416"/>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stretch>
                      <a:fillRect/>
                    </a:stretch>
                  </pic:blipFill>
                  <pic:spPr>
                    <a:xfrm>
                      <a:off x="0" y="0"/>
                      <a:ext cx="4431792" cy="1804416"/>
                    </a:xfrm>
                    <a:prstGeom prst="rect">
                      <a:avLst/>
                    </a:prstGeom>
                  </pic:spPr>
                </pic:pic>
              </a:graphicData>
            </a:graphic>
          </wp:inline>
        </w:drawing>
      </w:r>
    </w:p>
    <w:p w14:paraId="0435961B" w14:textId="0D5F71BA" w:rsidR="00513D22" w:rsidRPr="0090237D" w:rsidRDefault="00CB229F" w:rsidP="00D5413C">
      <w:pPr>
        <w:pStyle w:val="Titre"/>
        <w:rPr>
          <w:color w:val="3F251D"/>
        </w:rPr>
      </w:pPr>
      <w:r w:rsidRPr="0090237D">
        <w:rPr>
          <w:color w:val="3F251D"/>
        </w:rPr>
        <w:t>Rapport annuel 2018-2019</w:t>
      </w:r>
    </w:p>
    <w:p w14:paraId="16CC357F" w14:textId="050A1F82" w:rsidR="00513D22" w:rsidRPr="0090237D" w:rsidRDefault="00CB229F" w:rsidP="00D5413C">
      <w:pPr>
        <w:pStyle w:val="Sous-titre"/>
        <w:rPr>
          <w:color w:val="3F251D"/>
        </w:rPr>
      </w:pPr>
      <w:r w:rsidRPr="0090237D">
        <w:rPr>
          <w:color w:val="3F251D"/>
        </w:rPr>
        <w:t>Présenté à l'assemblée générale annuelle</w:t>
      </w:r>
    </w:p>
    <w:p w14:paraId="332CF8A4" w14:textId="35F667CE" w:rsidR="003422FF" w:rsidRPr="0090237D" w:rsidRDefault="00CB229F" w:rsidP="003422FF">
      <w:pPr>
        <w:pStyle w:val="ContactInfo"/>
        <w:rPr>
          <w:color w:val="auto"/>
        </w:rPr>
      </w:pPr>
      <w:r w:rsidRPr="0090237D">
        <w:rPr>
          <w:color w:val="3F251D"/>
        </w:rPr>
        <w:t>Tenue aux Archives provinciales du Nouveau-Brunswick | 6 mai 2019</w:t>
      </w:r>
      <w:r w:rsidRPr="0090237D">
        <w:rPr>
          <w:color w:val="auto"/>
        </w:rPr>
        <w:br w:type="page"/>
      </w:r>
    </w:p>
    <w:sdt>
      <w:sdtPr>
        <w:rPr>
          <w:lang w:val="fr-FR"/>
        </w:rPr>
        <w:id w:val="-467199807"/>
        <w:docPartObj>
          <w:docPartGallery w:val="Table of Contents"/>
          <w:docPartUnique/>
        </w:docPartObj>
      </w:sdtPr>
      <w:sdtEndPr>
        <w:rPr>
          <w:rFonts w:asciiTheme="minorHAnsi" w:eastAsiaTheme="minorEastAsia" w:hAnsiTheme="minorHAnsi" w:cstheme="minorBidi"/>
          <w:b/>
          <w:bCs/>
          <w:color w:val="4D322D" w:themeColor="text2"/>
          <w:sz w:val="22"/>
          <w:szCs w:val="22"/>
        </w:rPr>
      </w:sdtEndPr>
      <w:sdtContent>
        <w:p w14:paraId="69EC6333" w14:textId="6536602B" w:rsidR="0090237D" w:rsidRDefault="0090237D">
          <w:pPr>
            <w:pStyle w:val="En-ttedetabledesmatires"/>
          </w:pPr>
          <w:r>
            <w:rPr>
              <w:lang w:val="fr-FR"/>
            </w:rPr>
            <w:t>Table des matières</w:t>
          </w:r>
        </w:p>
        <w:p w14:paraId="60F880B8" w14:textId="08FA265C" w:rsidR="0090237D" w:rsidRDefault="0090237D">
          <w:pPr>
            <w:pStyle w:val="TM1"/>
            <w:tabs>
              <w:tab w:val="right" w:leader="dot" w:pos="8630"/>
            </w:tabs>
            <w:rPr>
              <w:noProof/>
              <w:color w:val="auto"/>
              <w:lang w:eastAsia="fr-CA"/>
            </w:rPr>
          </w:pPr>
          <w:r>
            <w:fldChar w:fldCharType="begin"/>
          </w:r>
          <w:r>
            <w:instrText xml:space="preserve"> TOC \o "1-3" \h \z \u </w:instrText>
          </w:r>
          <w:r>
            <w:fldChar w:fldCharType="separate"/>
          </w:r>
          <w:hyperlink w:anchor="_Toc7683329" w:history="1">
            <w:r w:rsidRPr="006C3E15">
              <w:rPr>
                <w:rStyle w:val="Lienhypertexte"/>
                <w:noProof/>
              </w:rPr>
              <w:t>Rapport du comité exécutif</w:t>
            </w:r>
            <w:r>
              <w:rPr>
                <w:noProof/>
                <w:webHidden/>
              </w:rPr>
              <w:tab/>
            </w:r>
            <w:r>
              <w:rPr>
                <w:noProof/>
                <w:webHidden/>
              </w:rPr>
              <w:fldChar w:fldCharType="begin"/>
            </w:r>
            <w:r>
              <w:rPr>
                <w:noProof/>
                <w:webHidden/>
              </w:rPr>
              <w:instrText xml:space="preserve"> PAGEREF _Toc7683329 \h </w:instrText>
            </w:r>
            <w:r>
              <w:rPr>
                <w:noProof/>
                <w:webHidden/>
              </w:rPr>
            </w:r>
            <w:r>
              <w:rPr>
                <w:noProof/>
                <w:webHidden/>
              </w:rPr>
              <w:fldChar w:fldCharType="separate"/>
            </w:r>
            <w:r>
              <w:rPr>
                <w:noProof/>
                <w:webHidden/>
              </w:rPr>
              <w:t>2</w:t>
            </w:r>
            <w:r>
              <w:rPr>
                <w:noProof/>
                <w:webHidden/>
              </w:rPr>
              <w:fldChar w:fldCharType="end"/>
            </w:r>
          </w:hyperlink>
        </w:p>
        <w:p w14:paraId="386F0A35" w14:textId="16C2F27E" w:rsidR="0090237D" w:rsidRDefault="0090237D">
          <w:pPr>
            <w:pStyle w:val="TM1"/>
            <w:tabs>
              <w:tab w:val="right" w:leader="dot" w:pos="8630"/>
            </w:tabs>
            <w:rPr>
              <w:noProof/>
              <w:color w:val="auto"/>
              <w:lang w:eastAsia="fr-CA"/>
            </w:rPr>
          </w:pPr>
          <w:hyperlink w:anchor="_Toc7683330" w:history="1">
            <w:r w:rsidRPr="006C3E15">
              <w:rPr>
                <w:rStyle w:val="Lienhypertexte"/>
                <w:noProof/>
              </w:rPr>
              <w:t>Rapport de la conseillère en archivistique</w:t>
            </w:r>
            <w:r>
              <w:rPr>
                <w:noProof/>
                <w:webHidden/>
              </w:rPr>
              <w:tab/>
            </w:r>
            <w:r>
              <w:rPr>
                <w:noProof/>
                <w:webHidden/>
              </w:rPr>
              <w:fldChar w:fldCharType="begin"/>
            </w:r>
            <w:r>
              <w:rPr>
                <w:noProof/>
                <w:webHidden/>
              </w:rPr>
              <w:instrText xml:space="preserve"> PAGEREF _Toc7683330 \h </w:instrText>
            </w:r>
            <w:r>
              <w:rPr>
                <w:noProof/>
                <w:webHidden/>
              </w:rPr>
            </w:r>
            <w:r>
              <w:rPr>
                <w:noProof/>
                <w:webHidden/>
              </w:rPr>
              <w:fldChar w:fldCharType="separate"/>
            </w:r>
            <w:r>
              <w:rPr>
                <w:noProof/>
                <w:webHidden/>
              </w:rPr>
              <w:t>8</w:t>
            </w:r>
            <w:r>
              <w:rPr>
                <w:noProof/>
                <w:webHidden/>
              </w:rPr>
              <w:fldChar w:fldCharType="end"/>
            </w:r>
          </w:hyperlink>
        </w:p>
        <w:p w14:paraId="16E7544B" w14:textId="2643E616" w:rsidR="0090237D" w:rsidRDefault="0090237D">
          <w:pPr>
            <w:pStyle w:val="TM1"/>
            <w:tabs>
              <w:tab w:val="right" w:leader="dot" w:pos="8630"/>
            </w:tabs>
            <w:rPr>
              <w:noProof/>
              <w:color w:val="auto"/>
              <w:lang w:eastAsia="fr-CA"/>
            </w:rPr>
          </w:pPr>
          <w:hyperlink w:anchor="_Toc7683331" w:history="1">
            <w:r w:rsidRPr="006C3E15">
              <w:rPr>
                <w:rStyle w:val="Lienhypertexte"/>
                <w:noProof/>
              </w:rPr>
              <w:t>Rapport de la trésorière</w:t>
            </w:r>
            <w:r>
              <w:rPr>
                <w:noProof/>
                <w:webHidden/>
              </w:rPr>
              <w:tab/>
            </w:r>
            <w:r>
              <w:rPr>
                <w:noProof/>
                <w:webHidden/>
              </w:rPr>
              <w:fldChar w:fldCharType="begin"/>
            </w:r>
            <w:r>
              <w:rPr>
                <w:noProof/>
                <w:webHidden/>
              </w:rPr>
              <w:instrText xml:space="preserve"> PAGEREF _Toc7683331 \h </w:instrText>
            </w:r>
            <w:r>
              <w:rPr>
                <w:noProof/>
                <w:webHidden/>
              </w:rPr>
            </w:r>
            <w:r>
              <w:rPr>
                <w:noProof/>
                <w:webHidden/>
              </w:rPr>
              <w:fldChar w:fldCharType="separate"/>
            </w:r>
            <w:r>
              <w:rPr>
                <w:noProof/>
                <w:webHidden/>
              </w:rPr>
              <w:t>11</w:t>
            </w:r>
            <w:r>
              <w:rPr>
                <w:noProof/>
                <w:webHidden/>
              </w:rPr>
              <w:fldChar w:fldCharType="end"/>
            </w:r>
          </w:hyperlink>
        </w:p>
        <w:p w14:paraId="43998E33" w14:textId="2094EAC7" w:rsidR="0090237D" w:rsidRDefault="0090237D">
          <w:pPr>
            <w:pStyle w:val="TM1"/>
            <w:tabs>
              <w:tab w:val="right" w:leader="dot" w:pos="8630"/>
            </w:tabs>
            <w:rPr>
              <w:noProof/>
              <w:color w:val="auto"/>
              <w:lang w:eastAsia="fr-CA"/>
            </w:rPr>
          </w:pPr>
          <w:hyperlink w:anchor="_Toc7683332" w:history="1">
            <w:r w:rsidRPr="006C3E15">
              <w:rPr>
                <w:rStyle w:val="Lienhypertexte"/>
                <w:noProof/>
              </w:rPr>
              <w:t>Principales conclusions de l’évaluation des besoins de 2015</w:t>
            </w:r>
            <w:r>
              <w:rPr>
                <w:noProof/>
                <w:webHidden/>
              </w:rPr>
              <w:tab/>
            </w:r>
            <w:r>
              <w:rPr>
                <w:noProof/>
                <w:webHidden/>
              </w:rPr>
              <w:fldChar w:fldCharType="begin"/>
            </w:r>
            <w:r>
              <w:rPr>
                <w:noProof/>
                <w:webHidden/>
              </w:rPr>
              <w:instrText xml:space="preserve"> PAGEREF _Toc7683332 \h </w:instrText>
            </w:r>
            <w:r>
              <w:rPr>
                <w:noProof/>
                <w:webHidden/>
              </w:rPr>
            </w:r>
            <w:r>
              <w:rPr>
                <w:noProof/>
                <w:webHidden/>
              </w:rPr>
              <w:fldChar w:fldCharType="separate"/>
            </w:r>
            <w:r>
              <w:rPr>
                <w:noProof/>
                <w:webHidden/>
              </w:rPr>
              <w:t>19</w:t>
            </w:r>
            <w:r>
              <w:rPr>
                <w:noProof/>
                <w:webHidden/>
              </w:rPr>
              <w:fldChar w:fldCharType="end"/>
            </w:r>
          </w:hyperlink>
        </w:p>
        <w:p w14:paraId="2CA683E7" w14:textId="0BFF88F9" w:rsidR="0090237D" w:rsidRDefault="0090237D">
          <w:r>
            <w:rPr>
              <w:b/>
              <w:bCs/>
              <w:lang w:val="fr-FR"/>
            </w:rPr>
            <w:fldChar w:fldCharType="end"/>
          </w:r>
        </w:p>
      </w:sdtContent>
    </w:sdt>
    <w:p w14:paraId="3C851F64" w14:textId="77777777" w:rsidR="00587406" w:rsidRPr="0090237D" w:rsidRDefault="00587406">
      <w:pPr>
        <w:rPr>
          <w:rFonts w:asciiTheme="majorHAnsi" w:eastAsiaTheme="majorEastAsia" w:hAnsiTheme="majorHAnsi" w:cstheme="majorBidi"/>
          <w:color w:val="auto"/>
          <w:sz w:val="30"/>
          <w:szCs w:val="30"/>
        </w:rPr>
      </w:pPr>
      <w:r w:rsidRPr="0090237D">
        <w:rPr>
          <w:color w:val="auto"/>
        </w:rPr>
        <w:br w:type="page"/>
      </w:r>
    </w:p>
    <w:p w14:paraId="5A12242E" w14:textId="39FF0C2C" w:rsidR="00513D22" w:rsidRPr="0090237D" w:rsidRDefault="00CB229F" w:rsidP="00513D22">
      <w:pPr>
        <w:pStyle w:val="Titre1"/>
        <w:rPr>
          <w:color w:val="3F251D"/>
        </w:rPr>
      </w:pPr>
      <w:bookmarkStart w:id="5" w:name="_Toc7683329"/>
      <w:bookmarkEnd w:id="0"/>
      <w:bookmarkEnd w:id="1"/>
      <w:bookmarkEnd w:id="2"/>
      <w:bookmarkEnd w:id="3"/>
      <w:bookmarkEnd w:id="4"/>
      <w:r w:rsidRPr="0090237D">
        <w:rPr>
          <w:color w:val="3F251D"/>
        </w:rPr>
        <w:lastRenderedPageBreak/>
        <w:t>Rapport du comité exécutif</w:t>
      </w:r>
      <w:bookmarkEnd w:id="5"/>
    </w:p>
    <w:p w14:paraId="0502E549" w14:textId="7F0FE6CF" w:rsidR="00626B65" w:rsidRPr="0090237D" w:rsidRDefault="00CB229F" w:rsidP="0077265C">
      <w:pPr>
        <w:jc w:val="both"/>
        <w:rPr>
          <w:color w:val="3F251D"/>
        </w:rPr>
      </w:pPr>
      <w:r w:rsidRPr="0090237D">
        <w:rPr>
          <w:color w:val="3F251D"/>
        </w:rPr>
        <w:t>La dernière année a été une période de renouveau pour les membres du comité exécutif du Conseil des archives du Nouveau-Brunswick (</w:t>
      </w:r>
      <w:bookmarkStart w:id="6" w:name="_GoBack"/>
      <w:r w:rsidRPr="0090237D">
        <w:rPr>
          <w:color w:val="3F251D"/>
        </w:rPr>
        <w:t>CANB</w:t>
      </w:r>
      <w:bookmarkEnd w:id="6"/>
      <w:r w:rsidRPr="0090237D">
        <w:rPr>
          <w:color w:val="3F251D"/>
        </w:rPr>
        <w:t>).</w:t>
      </w:r>
      <w:r w:rsidR="0090237D" w:rsidRPr="0090237D">
        <w:rPr>
          <w:color w:val="3F251D"/>
        </w:rPr>
        <w:t xml:space="preserve"> </w:t>
      </w:r>
      <w:r w:rsidRPr="0090237D">
        <w:rPr>
          <w:color w:val="3F251D"/>
        </w:rPr>
        <w:t>Nous avons accueilli une nouvelle membre : Evelyn Fidler (membre en général), qui a apporté une nouvelle perspective dans les discussions.</w:t>
      </w:r>
      <w:r w:rsidR="0090237D" w:rsidRPr="0090237D">
        <w:rPr>
          <w:color w:val="3F251D"/>
        </w:rPr>
        <w:t xml:space="preserve"> </w:t>
      </w:r>
      <w:r w:rsidRPr="0090237D">
        <w:rPr>
          <w:color w:val="3F251D"/>
        </w:rPr>
        <w:t>Elle a surtout de l’expérience en muséologie, elle a donc beaucoup contribué à nos délibérations en offrant un point de vue unique.</w:t>
      </w:r>
    </w:p>
    <w:p w14:paraId="5B22DC90" w14:textId="1FD4CAAC" w:rsidR="00626B65" w:rsidRPr="0090237D" w:rsidRDefault="00CB229F" w:rsidP="0077265C">
      <w:pPr>
        <w:jc w:val="both"/>
        <w:rPr>
          <w:color w:val="3F251D"/>
        </w:rPr>
      </w:pPr>
      <w:r w:rsidRPr="0090237D">
        <w:rPr>
          <w:color w:val="3F251D"/>
        </w:rPr>
        <w:t>Nous avons aussi accueilli notre nouvelle conseillère en archivistique, Kimberley Maguire.</w:t>
      </w:r>
      <w:r w:rsidR="0090237D" w:rsidRPr="0090237D">
        <w:rPr>
          <w:color w:val="3F251D"/>
        </w:rPr>
        <w:t xml:space="preserve"> </w:t>
      </w:r>
      <w:r w:rsidRPr="0090237D">
        <w:rPr>
          <w:color w:val="3F251D"/>
        </w:rPr>
        <w:t>Beaucoup de membres du CANB la connaissent pour son travail avec la Coopérative de conservation et avec Dean Lund.</w:t>
      </w:r>
      <w:r w:rsidR="0090237D" w:rsidRPr="0090237D">
        <w:rPr>
          <w:color w:val="3F251D"/>
        </w:rPr>
        <w:t xml:space="preserve"> </w:t>
      </w:r>
      <w:r w:rsidRPr="0090237D">
        <w:rPr>
          <w:color w:val="3F251D"/>
        </w:rPr>
        <w:t>Elle s’est attelée à la tâche sans attendre et a consacré beaucoup d’efforts à apprendre les normes et pratiques d’archivage qui orientent le travail qu’elle mène en ce moment.</w:t>
      </w:r>
      <w:r w:rsidR="005E1FDF" w:rsidRPr="0090237D">
        <w:rPr>
          <w:rStyle w:val="fusionSegment"/>
          <w:color w:val="3F251D"/>
        </w:rPr>
        <w:t xml:space="preserve"> </w:t>
      </w:r>
      <w:r w:rsidRPr="0090237D">
        <w:rPr>
          <w:color w:val="3F251D"/>
        </w:rPr>
        <w:t>Son enthousiasme et sa bonne humeur sont fort bienvenus au CANB.</w:t>
      </w:r>
    </w:p>
    <w:p w14:paraId="63745F3F" w14:textId="6EC6FBF1" w:rsidR="00626B65" w:rsidRPr="0090237D" w:rsidRDefault="00CB229F" w:rsidP="0077265C">
      <w:pPr>
        <w:jc w:val="both"/>
        <w:rPr>
          <w:color w:val="3F251D"/>
        </w:rPr>
      </w:pPr>
      <w:r w:rsidRPr="0090237D">
        <w:rPr>
          <w:color w:val="3F251D"/>
        </w:rPr>
        <w:t>Puisque la majorité des membres du comité ont maintenant plus d’expérience, nous nous sommes concentrés sur la révision des lignes directrices et demandes en matière de subvention au cours de l’année.</w:t>
      </w:r>
      <w:r w:rsidR="0090237D" w:rsidRPr="0090237D">
        <w:rPr>
          <w:color w:val="3F251D"/>
        </w:rPr>
        <w:t xml:space="preserve"> </w:t>
      </w:r>
      <w:r w:rsidRPr="0090237D">
        <w:rPr>
          <w:color w:val="3F251D"/>
        </w:rPr>
        <w:t>Cela a aussi aidé notre nouvelle conseillère en archivistique à comprendre les processus de rédaction et d’attribution de subvention.</w:t>
      </w:r>
      <w:r w:rsidR="0090237D" w:rsidRPr="0090237D">
        <w:rPr>
          <w:color w:val="3F251D"/>
        </w:rPr>
        <w:t xml:space="preserve"> </w:t>
      </w:r>
      <w:r w:rsidRPr="0090237D">
        <w:rPr>
          <w:color w:val="3F251D"/>
        </w:rPr>
        <w:t>Nous avons continué à repenser la gouvernance en révisant la politique de remboursement du CANB et avons étudié des façons d’en orienter la gestion des dossiers (plan de classification et plan de conservation et de destruction des dossiers).</w:t>
      </w:r>
      <w:r w:rsidR="0090237D" w:rsidRPr="0090237D">
        <w:rPr>
          <w:color w:val="3F251D"/>
        </w:rPr>
        <w:t xml:space="preserve"> </w:t>
      </w:r>
      <w:r w:rsidRPr="0090237D">
        <w:rPr>
          <w:color w:val="3F251D"/>
        </w:rPr>
        <w:t>Ces sujets seront abordés plus en détail ci-dessous.</w:t>
      </w:r>
      <w:r w:rsidR="0090237D" w:rsidRPr="0090237D">
        <w:rPr>
          <w:color w:val="3F251D"/>
        </w:rPr>
        <w:t xml:space="preserve"> </w:t>
      </w:r>
    </w:p>
    <w:p w14:paraId="0276D30D" w14:textId="325DAB36" w:rsidR="00513D22" w:rsidRPr="0090237D" w:rsidRDefault="00CB229F" w:rsidP="00626B65">
      <w:pPr>
        <w:rPr>
          <w:color w:val="3F251D"/>
        </w:rPr>
      </w:pPr>
      <w:r w:rsidRPr="0090237D">
        <w:rPr>
          <w:b/>
          <w:i/>
          <w:color w:val="3F251D"/>
        </w:rPr>
        <w:t>GOUVERNANCE</w:t>
      </w:r>
    </w:p>
    <w:p w14:paraId="238B4110" w14:textId="7CE29354" w:rsidR="00626B65" w:rsidRPr="0090237D" w:rsidRDefault="00CB229F" w:rsidP="0077265C">
      <w:pPr>
        <w:jc w:val="both"/>
        <w:rPr>
          <w:color w:val="3F251D"/>
        </w:rPr>
      </w:pPr>
      <w:r w:rsidRPr="0090237D">
        <w:rPr>
          <w:color w:val="3F251D"/>
        </w:rPr>
        <w:t>La constitution et les règlements administratifs qui encadrent les activités font partie des pierres angulaires de toute organisation.</w:t>
      </w:r>
      <w:r w:rsidR="0090237D" w:rsidRPr="0090237D">
        <w:rPr>
          <w:color w:val="3F251D"/>
        </w:rPr>
        <w:t xml:space="preserve"> </w:t>
      </w:r>
      <w:r w:rsidRPr="0090237D">
        <w:rPr>
          <w:color w:val="3F251D"/>
        </w:rPr>
        <w:t>Ils ont été mis à jour et approuvés lors de l’assemblée générale annuelle de 2018.</w:t>
      </w:r>
      <w:r w:rsidR="0090237D" w:rsidRPr="0090237D">
        <w:rPr>
          <w:color w:val="3F251D"/>
        </w:rPr>
        <w:t xml:space="preserve"> </w:t>
      </w:r>
      <w:r w:rsidRPr="0090237D">
        <w:rPr>
          <w:color w:val="3F251D"/>
        </w:rPr>
        <w:t>Nous avons passé en revue les détails et comparé l’information à des exemples tirés d’autres provinces.</w:t>
      </w:r>
      <w:r w:rsidR="0090237D" w:rsidRPr="0090237D">
        <w:rPr>
          <w:color w:val="3F251D"/>
        </w:rPr>
        <w:t xml:space="preserve"> </w:t>
      </w:r>
      <w:r w:rsidRPr="0090237D">
        <w:rPr>
          <w:color w:val="3F251D"/>
        </w:rPr>
        <w:t>Un des changements les plus importants a porté sur les types d’adhésion offerts.</w:t>
      </w:r>
      <w:r w:rsidR="0090237D" w:rsidRPr="0090237D">
        <w:rPr>
          <w:color w:val="3F251D"/>
        </w:rPr>
        <w:t xml:space="preserve"> </w:t>
      </w:r>
      <w:r w:rsidRPr="0090237D">
        <w:rPr>
          <w:color w:val="3F251D"/>
        </w:rPr>
        <w:t xml:space="preserve">Nous avons aussi permis les adhésions à titre personnel pour les gens intéressés </w:t>
      </w:r>
      <w:r w:rsidR="00ED4CEF" w:rsidRPr="0090237D">
        <w:rPr>
          <w:color w:val="3F251D"/>
        </w:rPr>
        <w:t>par</w:t>
      </w:r>
      <w:r w:rsidRPr="0090237D">
        <w:rPr>
          <w:color w:val="3F251D"/>
        </w:rPr>
        <w:t xml:space="preserve"> l’archivage.</w:t>
      </w:r>
      <w:r w:rsidR="0090237D" w:rsidRPr="0090237D">
        <w:rPr>
          <w:color w:val="3F251D"/>
        </w:rPr>
        <w:t xml:space="preserve"> </w:t>
      </w:r>
    </w:p>
    <w:p w14:paraId="304BC427" w14:textId="46F471CC" w:rsidR="00BA7808" w:rsidRPr="0090237D" w:rsidRDefault="00CB229F" w:rsidP="0077265C">
      <w:pPr>
        <w:jc w:val="both"/>
        <w:rPr>
          <w:color w:val="3F251D"/>
        </w:rPr>
      </w:pPr>
      <w:r w:rsidRPr="0090237D">
        <w:rPr>
          <w:color w:val="3F251D"/>
        </w:rPr>
        <w:t>La durée du mandat des membres du CANB est aussi passée de deux à trois ans.</w:t>
      </w:r>
      <w:r w:rsidR="00117447" w:rsidRPr="0090237D">
        <w:rPr>
          <w:color w:val="3F251D"/>
        </w:rPr>
        <w:t xml:space="preserve"> </w:t>
      </w:r>
      <w:r w:rsidRPr="0090237D">
        <w:rPr>
          <w:color w:val="3F251D"/>
        </w:rPr>
        <w:t>Cela permet aux nouveaux membres du comité de direction de s’habituer à leur rôle, et, nous l’espérons, de bâtir une mémoire d’entreprise, souvent fondamentale à la réussite d’organismes bénévoles.</w:t>
      </w:r>
    </w:p>
    <w:p w14:paraId="65B0E5A1" w14:textId="4215C2BA" w:rsidR="00626B65" w:rsidRPr="0090237D" w:rsidRDefault="00CB229F" w:rsidP="0077265C">
      <w:pPr>
        <w:jc w:val="both"/>
        <w:rPr>
          <w:color w:val="3F251D"/>
        </w:rPr>
      </w:pPr>
      <w:r w:rsidRPr="0090237D">
        <w:rPr>
          <w:color w:val="3F251D"/>
        </w:rPr>
        <w:t>Les politiques internes ont été un autre sujet d’examen.</w:t>
      </w:r>
      <w:r w:rsidR="0090237D" w:rsidRPr="0090237D">
        <w:rPr>
          <w:color w:val="3F251D"/>
        </w:rPr>
        <w:t xml:space="preserve"> </w:t>
      </w:r>
      <w:r w:rsidRPr="0090237D">
        <w:rPr>
          <w:color w:val="3F251D"/>
        </w:rPr>
        <w:t>En 2018-2019, le comité exécutif a examiné la politique de remboursement du CANB.</w:t>
      </w:r>
      <w:r w:rsidR="00117447" w:rsidRPr="0090237D">
        <w:rPr>
          <w:color w:val="3F251D"/>
        </w:rPr>
        <w:t xml:space="preserve"> </w:t>
      </w:r>
      <w:r w:rsidRPr="0090237D">
        <w:rPr>
          <w:color w:val="3F251D"/>
        </w:rPr>
        <w:t>Nous allons tenter de faire traduire ce document et de le distribuer afin de pouvoir le soumettre à un vote lors de l’assemblée générale annuelle de 2019.</w:t>
      </w:r>
    </w:p>
    <w:p w14:paraId="4E664D0B" w14:textId="3684AB1E" w:rsidR="00626B65" w:rsidRPr="0090237D" w:rsidRDefault="00CB229F" w:rsidP="0077265C">
      <w:pPr>
        <w:jc w:val="both"/>
        <w:rPr>
          <w:color w:val="3F251D"/>
        </w:rPr>
      </w:pPr>
      <w:r w:rsidRPr="0090237D">
        <w:rPr>
          <w:color w:val="3F251D"/>
        </w:rPr>
        <w:t>Le dernier sujet abordé est l’expression de notre gratitude envers les conseils et le soutien que nous fournissent les Archives provinciales du Nouveau-Brunswick (APNB).</w:t>
      </w:r>
      <w:r w:rsidR="0090237D" w:rsidRPr="0090237D">
        <w:rPr>
          <w:color w:val="3F251D"/>
        </w:rPr>
        <w:t xml:space="preserve"> </w:t>
      </w:r>
      <w:r w:rsidRPr="0090237D">
        <w:rPr>
          <w:color w:val="3F251D"/>
        </w:rPr>
        <w:t xml:space="preserve">Nous avons une entente de longue date par laquelle les APNB nous fournissent des locaux, de </w:t>
      </w:r>
      <w:r w:rsidRPr="0090237D">
        <w:rPr>
          <w:color w:val="3F251D"/>
        </w:rPr>
        <w:lastRenderedPageBreak/>
        <w:t>l’équipement et du soutien.</w:t>
      </w:r>
      <w:r w:rsidR="00117447" w:rsidRPr="0090237D">
        <w:rPr>
          <w:color w:val="3F251D"/>
        </w:rPr>
        <w:t xml:space="preserve"> </w:t>
      </w:r>
      <w:r w:rsidRPr="0090237D">
        <w:rPr>
          <w:color w:val="3F251D"/>
        </w:rPr>
        <w:t>Le CANB ne pourrait pas fonctionner sans cet accord et je souhaite réitérer ma reconnaissance envers les APNB pour tout ce qu’elles font pour aider le CANB.</w:t>
      </w:r>
    </w:p>
    <w:p w14:paraId="45A68CFE" w14:textId="1DE22C60" w:rsidR="00FD4353" w:rsidRPr="0090237D" w:rsidRDefault="00CB229F" w:rsidP="00626B65">
      <w:pPr>
        <w:rPr>
          <w:color w:val="3F251D"/>
        </w:rPr>
      </w:pPr>
      <w:r w:rsidRPr="0090237D">
        <w:rPr>
          <w:b/>
          <w:i/>
          <w:color w:val="3F251D"/>
        </w:rPr>
        <w:t>PROCÉDURES OPÉRATIONNELLES</w:t>
      </w:r>
    </w:p>
    <w:p w14:paraId="217BB8A1" w14:textId="21900909" w:rsidR="00626B65" w:rsidRPr="0090237D" w:rsidRDefault="00CB229F" w:rsidP="0077265C">
      <w:pPr>
        <w:jc w:val="both"/>
        <w:rPr>
          <w:color w:val="3F251D"/>
        </w:rPr>
      </w:pPr>
      <w:r w:rsidRPr="0090237D">
        <w:rPr>
          <w:color w:val="3F251D"/>
        </w:rPr>
        <w:t>Nous avons poursuivi le travail de création de procédures opérationnelles avec l’aide de la conseillère en archivistique, Kimberley Maguire. Quand il est devenu évident que notre dernier conseiller ne souhaitait pas renouveler son contrat, nous avons commencé à travailler avec lui à cibler les nombreuses procédures administratives et bureautiques qu’il avait apprises pendant son passage à Fredericton.</w:t>
      </w:r>
    </w:p>
    <w:p w14:paraId="2266AF7D" w14:textId="706310CF" w:rsidR="00626B65" w:rsidRPr="0090237D" w:rsidRDefault="00CB229F" w:rsidP="0077265C">
      <w:pPr>
        <w:jc w:val="both"/>
        <w:rPr>
          <w:color w:val="3F251D"/>
        </w:rPr>
      </w:pPr>
      <w:r w:rsidRPr="0090237D">
        <w:rPr>
          <w:color w:val="3F251D"/>
        </w:rPr>
        <w:t>La nouvelle conseillère en archivistique a su profiter de l’information et elle a continué de dresser la liste des procédures qui l’ont aidée ou dont le comité de direction a expressément fait la demande, et de les rendre officielles.</w:t>
      </w:r>
      <w:r w:rsidR="00117447" w:rsidRPr="0090237D">
        <w:rPr>
          <w:color w:val="3F251D"/>
        </w:rPr>
        <w:t xml:space="preserve"> </w:t>
      </w:r>
      <w:r w:rsidRPr="0090237D">
        <w:rPr>
          <w:color w:val="3F251D"/>
        </w:rPr>
        <w:t>Le document qui en a découlé constitue une partie de notre plan de continuité et nous aide à officialiser les procédures afin que tout le monde puisse venir au bureau et apprendre comment réaliser une tâche.</w:t>
      </w:r>
    </w:p>
    <w:p w14:paraId="58670E53" w14:textId="02B296C6" w:rsidR="00350AC6" w:rsidRPr="0090237D" w:rsidRDefault="00CB229F" w:rsidP="0077265C">
      <w:pPr>
        <w:jc w:val="both"/>
        <w:rPr>
          <w:color w:val="3F251D"/>
        </w:rPr>
      </w:pPr>
      <w:r w:rsidRPr="0090237D">
        <w:rPr>
          <w:color w:val="3F251D"/>
        </w:rPr>
        <w:t>Nous espérons pouvoir diffuser le gabarit de travail aux membres en tant que guide sur la préparation de ce type de document pour leur propre établissement.</w:t>
      </w:r>
      <w:r w:rsidR="00117447" w:rsidRPr="0090237D">
        <w:rPr>
          <w:color w:val="3F251D"/>
        </w:rPr>
        <w:t xml:space="preserve"> </w:t>
      </w:r>
      <w:r w:rsidRPr="0090237D">
        <w:rPr>
          <w:color w:val="3F251D"/>
        </w:rPr>
        <w:t>Il s’agit d’un outil précieux pour toute organisation bénévole qui cherche à établir des pratiques exemplaires qui favoriseront la continuité.</w:t>
      </w:r>
    </w:p>
    <w:p w14:paraId="049D5DAC" w14:textId="275364E2" w:rsidR="00350AC6" w:rsidRPr="0090237D" w:rsidRDefault="00CB229F" w:rsidP="00626B65">
      <w:pPr>
        <w:rPr>
          <w:color w:val="3F251D"/>
        </w:rPr>
      </w:pPr>
      <w:r w:rsidRPr="0090237D">
        <w:rPr>
          <w:b/>
          <w:i/>
          <w:color w:val="3F251D"/>
        </w:rPr>
        <w:t>SUBVENTIONS ANNUELLES AUX ÉTABLISSEMENTS MEMBRES DU CANB</w:t>
      </w:r>
    </w:p>
    <w:p w14:paraId="241F48F5" w14:textId="588AC3DB" w:rsidR="00350AC6" w:rsidRPr="0090237D" w:rsidRDefault="00CB229F" w:rsidP="0077265C">
      <w:pPr>
        <w:jc w:val="both"/>
        <w:rPr>
          <w:color w:val="3F251D"/>
        </w:rPr>
      </w:pPr>
      <w:r w:rsidRPr="0090237D">
        <w:rPr>
          <w:color w:val="3F251D"/>
        </w:rPr>
        <w:t>Pendant l’automne 2018, le comité exécutif s'est servi des lignes directrices et demandes de subventions pour les subventions créées en 2017 afin de statuer sur les demandes.</w:t>
      </w:r>
      <w:r w:rsidR="0090237D" w:rsidRPr="0090237D">
        <w:rPr>
          <w:color w:val="3F251D"/>
        </w:rPr>
        <w:t xml:space="preserve"> </w:t>
      </w:r>
      <w:r w:rsidRPr="0090237D">
        <w:rPr>
          <w:color w:val="3F251D"/>
        </w:rPr>
        <w:t>Cela a permis à la nouvelle conseillère en archivistique de connaître le processus d’attribution et à la nouvelle membre du comité exécutif de se familiariser avec les lignes directrices et de déterminer les types de questions auxquelles nous devrions réfléchir lorsque nous statuons sur les demandes des membres. Nous sommes responsables devant la population du Nouveau-Brunswick et devons faire preuve de jugement lorsque nous prenons ces décisions.</w:t>
      </w:r>
    </w:p>
    <w:p w14:paraId="5F3E9EB1" w14:textId="3A4C4332" w:rsidR="00350AC6" w:rsidRPr="0090237D" w:rsidRDefault="00CB229F" w:rsidP="0077265C">
      <w:pPr>
        <w:jc w:val="both"/>
        <w:rPr>
          <w:color w:val="3F251D"/>
        </w:rPr>
      </w:pPr>
      <w:r w:rsidRPr="0090237D">
        <w:rPr>
          <w:color w:val="3F251D"/>
        </w:rPr>
        <w:t>L’un des aspects les plus importants de ce processus est de veiller à ce que nous ayons tous les renseignements dont aurait besoin tout vérificateur du gouvernement qui pourrait vouloir examiner nos demandes de subvention pour déterminer comment les fonds sont utilisés.</w:t>
      </w:r>
      <w:r w:rsidR="0090237D" w:rsidRPr="0090237D">
        <w:rPr>
          <w:color w:val="3F251D"/>
        </w:rPr>
        <w:t xml:space="preserve"> </w:t>
      </w:r>
      <w:r w:rsidRPr="0090237D">
        <w:rPr>
          <w:color w:val="3F251D"/>
        </w:rPr>
        <w:t>Le gouvernement du Nouveau-Brunswick nous a confié des fonds et on s’attend à ce que nous tranchions sur les demandes de façon que nous nous assurions que les établissements qui présentent une demande de fonds fassent le travail qu’ils ont convenu de faire.</w:t>
      </w:r>
    </w:p>
    <w:p w14:paraId="005AD548" w14:textId="79D1AE99" w:rsidR="00626B65" w:rsidRPr="0090237D" w:rsidRDefault="00CB229F" w:rsidP="0077265C">
      <w:pPr>
        <w:jc w:val="both"/>
        <w:rPr>
          <w:color w:val="3F251D"/>
        </w:rPr>
      </w:pPr>
      <w:r w:rsidRPr="0090237D">
        <w:rPr>
          <w:color w:val="3F251D"/>
        </w:rPr>
        <w:t>Le processus d’attribution de l’automne a donné lieu à un certain nombre de questions et de problèmes qui ont été répertoriés en vue d’une ronde subséquente de révisions.</w:t>
      </w:r>
      <w:r w:rsidR="0090237D" w:rsidRPr="0090237D">
        <w:rPr>
          <w:color w:val="3F251D"/>
        </w:rPr>
        <w:t xml:space="preserve"> </w:t>
      </w:r>
      <w:r w:rsidRPr="0090237D">
        <w:rPr>
          <w:color w:val="3F251D"/>
        </w:rPr>
        <w:t xml:space="preserve">Les réunions du comité exécutif du CANB qui ont suivi ont recommandé que les demandes soient divisées en différents types. Kimberley Maguire a mené ce travail et a élaboré de </w:t>
      </w:r>
      <w:r w:rsidRPr="0090237D">
        <w:rPr>
          <w:color w:val="3F251D"/>
        </w:rPr>
        <w:lastRenderedPageBreak/>
        <w:t>nouveaux formulaires pour chaque demande et a aussi créé des feuilles de calcul d’appoint qui permettront aux membres de remplir les renseignements financiers plus facilement.</w:t>
      </w:r>
      <w:r w:rsidR="0090237D" w:rsidRPr="0090237D">
        <w:rPr>
          <w:color w:val="3F251D"/>
        </w:rPr>
        <w:t xml:space="preserve"> </w:t>
      </w:r>
    </w:p>
    <w:p w14:paraId="37B4CAA1" w14:textId="26EE5A6F" w:rsidR="00626B65" w:rsidRPr="0090237D" w:rsidRDefault="00CB229F" w:rsidP="0077265C">
      <w:pPr>
        <w:jc w:val="both"/>
        <w:rPr>
          <w:color w:val="3F251D"/>
        </w:rPr>
      </w:pPr>
      <w:r w:rsidRPr="0090237D">
        <w:rPr>
          <w:color w:val="3F251D"/>
        </w:rPr>
        <w:t>Même si les lignes directrices n’ont pas beaucoup changé, elles tiennent compte de certaines des suggestions issues des attributions de 2018.</w:t>
      </w:r>
      <w:r w:rsidR="0090237D" w:rsidRPr="0090237D">
        <w:rPr>
          <w:color w:val="3F251D"/>
        </w:rPr>
        <w:t xml:space="preserve"> </w:t>
      </w:r>
      <w:r w:rsidRPr="0090237D">
        <w:rPr>
          <w:color w:val="3F251D"/>
        </w:rPr>
        <w:t>Nous en avons fait traduire le contenu et avons publié l’appel de demandes de subventions le 2 avril 2019.</w:t>
      </w:r>
      <w:r w:rsidR="0090237D" w:rsidRPr="0090237D">
        <w:rPr>
          <w:color w:val="3F251D"/>
        </w:rPr>
        <w:t xml:space="preserve"> </w:t>
      </w:r>
      <w:r w:rsidRPr="0090237D">
        <w:rPr>
          <w:color w:val="3F251D"/>
        </w:rPr>
        <w:t>Cela fait partie d’un objectif à long terme d’avoir les décisions d’attribution de subventions en main avant le début de juin afin de pouvoir distribuer les fonds dès que nous recevons notre subvention du gouvernement du Nouveau-Brunswick et que les membres puissent réaliser leurs projets pendant l’été.</w:t>
      </w:r>
      <w:r w:rsidR="00117447" w:rsidRPr="0090237D">
        <w:rPr>
          <w:color w:val="3F251D"/>
        </w:rPr>
        <w:t xml:space="preserve"> </w:t>
      </w:r>
      <w:r w:rsidRPr="0090237D">
        <w:rPr>
          <w:color w:val="3F251D"/>
        </w:rPr>
        <w:t xml:space="preserve">Nous souhaitons faire ces changements depuis longtemps afin de permettre aux archives saisonnières et de faible envergure de réaliser des projets durant leur ouverture plus facilement. </w:t>
      </w:r>
    </w:p>
    <w:p w14:paraId="2DCE410E" w14:textId="4DB1E982" w:rsidR="00626B65" w:rsidRPr="0090237D" w:rsidRDefault="00CB229F" w:rsidP="00626B65">
      <w:pPr>
        <w:rPr>
          <w:b/>
          <w:i/>
          <w:color w:val="3F251D"/>
        </w:rPr>
      </w:pPr>
      <w:r w:rsidRPr="0090237D">
        <w:rPr>
          <w:b/>
          <w:i/>
          <w:color w:val="3F251D"/>
        </w:rPr>
        <w:t xml:space="preserve">DOSSIERS DU CANB </w:t>
      </w:r>
    </w:p>
    <w:p w14:paraId="5CA291A6" w14:textId="1C4A0ADD" w:rsidR="00626B65" w:rsidRPr="0090237D" w:rsidRDefault="00CB229F" w:rsidP="0077265C">
      <w:pPr>
        <w:jc w:val="both"/>
        <w:rPr>
          <w:color w:val="3F251D"/>
        </w:rPr>
      </w:pPr>
      <w:r w:rsidRPr="0090237D">
        <w:rPr>
          <w:color w:val="3F251D"/>
        </w:rPr>
        <w:t>Au cours de l’année dernière, la conseillère en archivistique a dû élaborer un plan et un calendrier de gestion des dossiers pour les dossiers actuellement gardés au bureau du CANB. Cela présentait une occasion d’en apprendre plus sur le domaine de la gestion des dossiers et d’aider à préparer les documents du manuel de procédures opérationnelles et les renseignements à partager aux membres.</w:t>
      </w:r>
    </w:p>
    <w:p w14:paraId="63BA65CB" w14:textId="047196D0" w:rsidR="00626B65" w:rsidRPr="0090237D" w:rsidRDefault="00CB229F" w:rsidP="0077265C">
      <w:pPr>
        <w:jc w:val="both"/>
        <w:rPr>
          <w:color w:val="3F251D"/>
        </w:rPr>
      </w:pPr>
      <w:r w:rsidRPr="0090237D">
        <w:rPr>
          <w:color w:val="3F251D"/>
        </w:rPr>
        <w:t>Kimberley Maguire a préparé un document après avoir consulté un certain nombre de sources externes. Toutefois, le comité exécutif a décidé que nous devrions étudier la possibilité de faire préparer un plan de classification ainsi qu’un plan de conservation et de destruction des dossiers par quelqu’un qui a travaillé en gestion des dossiers.</w:t>
      </w:r>
      <w:r w:rsidR="0090237D" w:rsidRPr="0090237D">
        <w:rPr>
          <w:color w:val="3F251D"/>
        </w:rPr>
        <w:t xml:space="preserve"> </w:t>
      </w:r>
    </w:p>
    <w:p w14:paraId="00E00A72" w14:textId="7B948354" w:rsidR="00626B65" w:rsidRPr="0090237D" w:rsidRDefault="00CB229F" w:rsidP="0077265C">
      <w:pPr>
        <w:jc w:val="both"/>
        <w:rPr>
          <w:color w:val="3F251D"/>
        </w:rPr>
      </w:pPr>
      <w:r w:rsidRPr="0090237D">
        <w:rPr>
          <w:color w:val="3F251D"/>
        </w:rPr>
        <w:t>Nous allons envisager l’attribution de fonds à ce projet en 2019-2020, avec l’objectif d’embaucher quelqu’un qui préparera les documents déjà mentionnés ainsi qu’un possible plan de classification pour une petite organisation gérée par des bénévoles, comme un musée ou des archives communautaires.</w:t>
      </w:r>
      <w:r w:rsidR="00117447" w:rsidRPr="0090237D">
        <w:rPr>
          <w:color w:val="3F251D"/>
        </w:rPr>
        <w:t xml:space="preserve"> </w:t>
      </w:r>
      <w:r w:rsidRPr="0090237D">
        <w:rPr>
          <w:color w:val="3F251D"/>
        </w:rPr>
        <w:t>Nous en informerons les membres par l’intermédiaire du site Web.</w:t>
      </w:r>
    </w:p>
    <w:p w14:paraId="2DFD67E5" w14:textId="56A6E596" w:rsidR="004D4952" w:rsidRPr="0090237D" w:rsidRDefault="00CB229F" w:rsidP="00626B65">
      <w:pPr>
        <w:rPr>
          <w:color w:val="3F251D"/>
        </w:rPr>
      </w:pPr>
      <w:r w:rsidRPr="0090237D">
        <w:rPr>
          <w:b/>
          <w:i/>
          <w:color w:val="3F251D"/>
        </w:rPr>
        <w:t>FORMATION SPÉCIALE</w:t>
      </w:r>
    </w:p>
    <w:p w14:paraId="6D8783AC" w14:textId="11ACA929" w:rsidR="00626B65" w:rsidRPr="0090237D" w:rsidRDefault="00CB229F" w:rsidP="0077265C">
      <w:pPr>
        <w:jc w:val="both"/>
        <w:rPr>
          <w:color w:val="3F251D"/>
        </w:rPr>
      </w:pPr>
      <w:r w:rsidRPr="0090237D">
        <w:rPr>
          <w:color w:val="3F251D"/>
        </w:rPr>
        <w:t>Cette année, certains des fonds auparavant réservés pour soutenir le calendrier du CANB ont été consacrés à la formation spéciale.</w:t>
      </w:r>
      <w:r w:rsidR="0090237D" w:rsidRPr="0090237D">
        <w:rPr>
          <w:color w:val="3F251D"/>
        </w:rPr>
        <w:t xml:space="preserve"> </w:t>
      </w:r>
      <w:r w:rsidRPr="0090237D">
        <w:rPr>
          <w:color w:val="3F251D"/>
        </w:rPr>
        <w:t>Au début de 2019, le comité exécutif a appris que le Conseil national d'évaluation des archives (CNEA) allait offrir une séance de formation à Fredericton en février.</w:t>
      </w:r>
      <w:r w:rsidR="0090237D" w:rsidRPr="0090237D">
        <w:rPr>
          <w:color w:val="3F251D"/>
        </w:rPr>
        <w:t xml:space="preserve"> </w:t>
      </w:r>
      <w:r w:rsidRPr="0090237D">
        <w:rPr>
          <w:color w:val="3F251D"/>
        </w:rPr>
        <w:t>Nous avons décidé de financer la participation de deux membres (2</w:t>
      </w:r>
      <w:r w:rsidR="00117447" w:rsidRPr="0090237D">
        <w:rPr>
          <w:color w:val="3F251D"/>
        </w:rPr>
        <w:t> </w:t>
      </w:r>
      <w:r w:rsidRPr="0090237D">
        <w:rPr>
          <w:color w:val="3F251D"/>
        </w:rPr>
        <w:t>400 dollars chacun) à cette occasion de formation unique et rare.</w:t>
      </w:r>
      <w:r w:rsidR="0090237D" w:rsidRPr="0090237D">
        <w:rPr>
          <w:color w:val="3F251D"/>
        </w:rPr>
        <w:t xml:space="preserve"> </w:t>
      </w:r>
      <w:r w:rsidRPr="0090237D">
        <w:rPr>
          <w:color w:val="3F251D"/>
        </w:rPr>
        <w:t>Nous avons lancé un appel de demandes et avons reçu deux demandes qui respectaient les lignes directrices du CNEA.</w:t>
      </w:r>
      <w:r w:rsidR="00117447" w:rsidRPr="0090237D">
        <w:rPr>
          <w:color w:val="3F251D"/>
        </w:rPr>
        <w:t xml:space="preserve"> </w:t>
      </w:r>
      <w:r w:rsidRPr="0090237D">
        <w:rPr>
          <w:color w:val="3F251D"/>
        </w:rPr>
        <w:t>Le CANB a donc financé la participation d’Evelyn Fidler (King’s Landing – Prince William, N.-B.) et de Christine Dupuis (Université de Moncton).</w:t>
      </w:r>
    </w:p>
    <w:p w14:paraId="02D34DC5" w14:textId="2FF9D8EC" w:rsidR="00626B65" w:rsidRPr="0090237D" w:rsidRDefault="00CB229F" w:rsidP="0077265C">
      <w:pPr>
        <w:jc w:val="both"/>
        <w:rPr>
          <w:color w:val="3F251D"/>
        </w:rPr>
      </w:pPr>
      <w:r w:rsidRPr="0090237D">
        <w:rPr>
          <w:color w:val="3F251D"/>
        </w:rPr>
        <w:t>Il s’agissait d’une occasion unique d’en apprendre sur l’évaluation monétaire des archives.</w:t>
      </w:r>
      <w:r w:rsidR="0090237D" w:rsidRPr="0090237D">
        <w:rPr>
          <w:color w:val="3F251D"/>
        </w:rPr>
        <w:t xml:space="preserve"> </w:t>
      </w:r>
      <w:r w:rsidRPr="0090237D">
        <w:rPr>
          <w:color w:val="3F251D"/>
        </w:rPr>
        <w:t xml:space="preserve">La séance de formation a été rigoureuse et a intégré des contributions d’experts chevronnés </w:t>
      </w:r>
      <w:r w:rsidRPr="0090237D">
        <w:rPr>
          <w:color w:val="3F251D"/>
        </w:rPr>
        <w:lastRenderedPageBreak/>
        <w:t>et un certain nombre d’évaluations donnant droit à une certification.</w:t>
      </w:r>
      <w:r w:rsidR="00117447" w:rsidRPr="0090237D">
        <w:rPr>
          <w:color w:val="3F251D"/>
        </w:rPr>
        <w:t xml:space="preserve"> </w:t>
      </w:r>
      <w:r w:rsidRPr="0090237D">
        <w:rPr>
          <w:color w:val="3F251D"/>
        </w:rPr>
        <w:t>Il s’agit d’un exercice utile qui profitera aux participantes.</w:t>
      </w:r>
    </w:p>
    <w:p w14:paraId="7F5B2633" w14:textId="3F122497" w:rsidR="004D4952" w:rsidRPr="0090237D" w:rsidRDefault="00CB229F" w:rsidP="00626B65">
      <w:pPr>
        <w:rPr>
          <w:color w:val="3F251D"/>
        </w:rPr>
      </w:pPr>
      <w:r w:rsidRPr="0090237D">
        <w:rPr>
          <w:b/>
          <w:i/>
          <w:color w:val="3F251D"/>
        </w:rPr>
        <w:t>CONSEILLÈRE EN ARCHIVISTIQUE</w:t>
      </w:r>
    </w:p>
    <w:p w14:paraId="66D5761A" w14:textId="71EBB20F" w:rsidR="00626B65" w:rsidRPr="0090237D" w:rsidRDefault="00CB229F" w:rsidP="0077265C">
      <w:pPr>
        <w:jc w:val="both"/>
        <w:rPr>
          <w:color w:val="3F251D"/>
        </w:rPr>
      </w:pPr>
      <w:r w:rsidRPr="0090237D">
        <w:rPr>
          <w:color w:val="3F251D"/>
        </w:rPr>
        <w:t>Comme indiqué plus tôt, nous accueillons Kimberley Maguire comme nouvelle conseillère en archivistique.</w:t>
      </w:r>
      <w:r w:rsidR="0090237D" w:rsidRPr="0090237D">
        <w:rPr>
          <w:color w:val="3F251D"/>
        </w:rPr>
        <w:t xml:space="preserve"> </w:t>
      </w:r>
      <w:r w:rsidRPr="0090237D">
        <w:rPr>
          <w:color w:val="3F251D"/>
        </w:rPr>
        <w:t>Elle s’est tout de suite mise au travail, étant donné qu’elle était auparavant embauchée par contrat.</w:t>
      </w:r>
      <w:r w:rsidR="0090237D" w:rsidRPr="0090237D">
        <w:rPr>
          <w:color w:val="3F251D"/>
        </w:rPr>
        <w:t xml:space="preserve"> </w:t>
      </w:r>
      <w:r w:rsidRPr="0090237D">
        <w:rPr>
          <w:color w:val="3F251D"/>
        </w:rPr>
        <w:t>Elle a eu beaucoup de choses à apprendre au cours des derniers quelques mois, mais elle s’est montrée motivée et active dans ce processus.</w:t>
      </w:r>
      <w:r w:rsidR="00117447" w:rsidRPr="0090237D">
        <w:rPr>
          <w:color w:val="3F251D"/>
        </w:rPr>
        <w:t xml:space="preserve"> </w:t>
      </w:r>
      <w:r w:rsidRPr="0090237D">
        <w:rPr>
          <w:color w:val="3F251D"/>
        </w:rPr>
        <w:t>Elle suit des cours de français et m’a accompagnée lors d’une visite à l’automne à l’Université de Moncton pour discuter des propositions du CANB et des demandes de subvention.</w:t>
      </w:r>
    </w:p>
    <w:p w14:paraId="2620B2DE" w14:textId="73439747" w:rsidR="00626B65" w:rsidRPr="0090237D" w:rsidRDefault="00CB229F" w:rsidP="0077265C">
      <w:pPr>
        <w:jc w:val="both"/>
        <w:rPr>
          <w:color w:val="3F251D"/>
        </w:rPr>
      </w:pPr>
      <w:r w:rsidRPr="0090237D">
        <w:rPr>
          <w:color w:val="3F251D"/>
        </w:rPr>
        <w:t>Elle a travaillé avec diligence à la refonte des lignes directrices et demandes en matière de subvention du CANB.</w:t>
      </w:r>
      <w:r w:rsidR="00117447" w:rsidRPr="0090237D">
        <w:rPr>
          <w:color w:val="3F251D"/>
        </w:rPr>
        <w:t xml:space="preserve"> </w:t>
      </w:r>
      <w:r w:rsidRPr="0090237D">
        <w:rPr>
          <w:color w:val="3F251D"/>
        </w:rPr>
        <w:t>Elle a obtenu l’aide d’une personne expérimentée avec les feuilles de calcul MS Excel afin de bâtir des modèles qui faciliteront le processus de demande de financement par les membres.</w:t>
      </w:r>
      <w:r w:rsidR="0090237D" w:rsidRPr="0090237D">
        <w:rPr>
          <w:color w:val="3F251D"/>
        </w:rPr>
        <w:t xml:space="preserve"> </w:t>
      </w:r>
    </w:p>
    <w:p w14:paraId="4F7AA5F2" w14:textId="231A77B8" w:rsidR="00626B65" w:rsidRPr="0090237D" w:rsidRDefault="00CB229F" w:rsidP="0077265C">
      <w:pPr>
        <w:jc w:val="both"/>
        <w:rPr>
          <w:color w:val="3F251D"/>
        </w:rPr>
      </w:pPr>
      <w:r w:rsidRPr="0090237D">
        <w:rPr>
          <w:color w:val="3F251D"/>
        </w:rPr>
        <w:t>J’encourage les membres à lui demander des conseils et à l’inviter pour des visites, des formations ou des évaluations globales de la préservation afin de perfectionner les compétences de leur personnel et améliorer la gestion de leur fonds documentaire.</w:t>
      </w:r>
      <w:r w:rsidR="00117447" w:rsidRPr="0090237D">
        <w:rPr>
          <w:color w:val="3F251D"/>
        </w:rPr>
        <w:t xml:space="preserve"> </w:t>
      </w:r>
      <w:r w:rsidRPr="0090237D">
        <w:rPr>
          <w:color w:val="3F251D"/>
        </w:rPr>
        <w:t>Kimberley nous arrive avec une expérience solide en conservation et préservation, et ces compétences pourraient être particulièrement utiles à certains membres.</w:t>
      </w:r>
    </w:p>
    <w:p w14:paraId="2F3D10B4" w14:textId="1C2966B5" w:rsidR="00626B65" w:rsidRPr="0090237D" w:rsidRDefault="00CB229F" w:rsidP="0077265C">
      <w:pPr>
        <w:jc w:val="both"/>
        <w:rPr>
          <w:color w:val="3F251D"/>
        </w:rPr>
      </w:pPr>
      <w:r w:rsidRPr="0090237D">
        <w:rPr>
          <w:color w:val="3F251D"/>
        </w:rPr>
        <w:t>Une de ses réussites importantes au cours des huit</w:t>
      </w:r>
      <w:r w:rsidR="00117447" w:rsidRPr="0090237D">
        <w:rPr>
          <w:color w:val="3F251D"/>
        </w:rPr>
        <w:t> </w:t>
      </w:r>
      <w:r w:rsidRPr="0090237D">
        <w:rPr>
          <w:color w:val="3F251D"/>
        </w:rPr>
        <w:t>derniers mois a été la rédaction d’un rapport qui a compilé et colligé l’information contenue à l’évaluation des besoins de 2015.</w:t>
      </w:r>
      <w:r w:rsidR="0090237D" w:rsidRPr="0090237D">
        <w:rPr>
          <w:color w:val="3F251D"/>
        </w:rPr>
        <w:t xml:space="preserve"> </w:t>
      </w:r>
      <w:r w:rsidRPr="0090237D">
        <w:rPr>
          <w:color w:val="3F251D"/>
        </w:rPr>
        <w:t>Ces renseignements avaient été compilés par Raegan Swanson, mais ce projet est resté en plan après son départ.</w:t>
      </w:r>
      <w:r w:rsidR="0090237D" w:rsidRPr="0090237D">
        <w:rPr>
          <w:color w:val="3F251D"/>
        </w:rPr>
        <w:t xml:space="preserve"> </w:t>
      </w:r>
      <w:r w:rsidRPr="0090237D">
        <w:rPr>
          <w:color w:val="3F251D"/>
        </w:rPr>
        <w:t>Kimberley Maguire s’est chargée de compiler les statistiques et de préparer un document de synthèse qu’elle vous partagera lors de l’assemblée générale annuelle.</w:t>
      </w:r>
      <w:r w:rsidR="0090237D" w:rsidRPr="0090237D">
        <w:rPr>
          <w:color w:val="3F251D"/>
        </w:rPr>
        <w:t xml:space="preserve"> </w:t>
      </w:r>
    </w:p>
    <w:p w14:paraId="54B6906C" w14:textId="428A2F8A" w:rsidR="004D4952" w:rsidRPr="0090237D" w:rsidRDefault="00CB229F" w:rsidP="00626B65">
      <w:pPr>
        <w:rPr>
          <w:color w:val="3F251D"/>
        </w:rPr>
      </w:pPr>
      <w:r w:rsidRPr="0090237D">
        <w:rPr>
          <w:b/>
          <w:i/>
          <w:color w:val="3F251D"/>
        </w:rPr>
        <w:t>FORMATION ET PERFECTIONNEMENT PROFESSIONNEL</w:t>
      </w:r>
    </w:p>
    <w:p w14:paraId="7ACF6090" w14:textId="519E42EE" w:rsidR="00626B65" w:rsidRPr="0090237D" w:rsidRDefault="00CB229F" w:rsidP="0077265C">
      <w:pPr>
        <w:jc w:val="both"/>
        <w:rPr>
          <w:color w:val="3F251D"/>
        </w:rPr>
      </w:pPr>
      <w:r w:rsidRPr="0090237D">
        <w:rPr>
          <w:color w:val="3F251D"/>
        </w:rPr>
        <w:t>Ava Sturgeon a mené un atelier lors de l’assemblée générale annuelle de l’an dernier à propos de la base de données de descriptions archivistiques CANBArchives, qui opère avec AtoM.</w:t>
      </w:r>
      <w:r w:rsidR="0090237D" w:rsidRPr="0090237D">
        <w:rPr>
          <w:color w:val="3F251D"/>
        </w:rPr>
        <w:t xml:space="preserve"> </w:t>
      </w:r>
      <w:r w:rsidRPr="0090237D">
        <w:rPr>
          <w:color w:val="3F251D"/>
        </w:rPr>
        <w:t>Nous avons également invité un</w:t>
      </w:r>
      <w:r w:rsidR="00F3176D" w:rsidRPr="0090237D">
        <w:rPr>
          <w:color w:val="3F251D"/>
        </w:rPr>
        <w:t>e</w:t>
      </w:r>
      <w:r w:rsidRPr="0090237D">
        <w:rPr>
          <w:color w:val="3F251D"/>
        </w:rPr>
        <w:t xml:space="preserve"> conférenci</w:t>
      </w:r>
      <w:r w:rsidR="00F3176D" w:rsidRPr="0090237D">
        <w:rPr>
          <w:color w:val="3F251D"/>
        </w:rPr>
        <w:t>ère</w:t>
      </w:r>
      <w:r w:rsidRPr="0090237D">
        <w:rPr>
          <w:color w:val="3F251D"/>
        </w:rPr>
        <w:t xml:space="preserve"> du Bureau du commissaire à l’intégrité du Nouveau-Brunswick.</w:t>
      </w:r>
      <w:r w:rsidR="0090237D" w:rsidRPr="0090237D">
        <w:rPr>
          <w:color w:val="3F251D"/>
        </w:rPr>
        <w:t xml:space="preserve"> </w:t>
      </w:r>
      <w:r w:rsidRPr="0090237D">
        <w:rPr>
          <w:color w:val="3F251D"/>
        </w:rPr>
        <w:t>Elle nous a parlé de la nouvelle loi et orienté sa présentation sur le rôle de la confidentialité.</w:t>
      </w:r>
      <w:r w:rsidR="00F3176D" w:rsidRPr="0090237D">
        <w:rPr>
          <w:color w:val="3F251D"/>
        </w:rPr>
        <w:t xml:space="preserve"> </w:t>
      </w:r>
      <w:r w:rsidRPr="0090237D">
        <w:rPr>
          <w:color w:val="3F251D"/>
        </w:rPr>
        <w:t>Avec cet angle, la présentation a été une réussite pour les membres employés par les APBN, mais malheureusement elle n’a pas répondu à toutes les questions du reste de l’auditoire.</w:t>
      </w:r>
    </w:p>
    <w:p w14:paraId="00B872A5" w14:textId="1CDA22E3" w:rsidR="00626B65" w:rsidRPr="0090237D" w:rsidRDefault="00CB229F" w:rsidP="0077265C">
      <w:pPr>
        <w:jc w:val="both"/>
        <w:rPr>
          <w:color w:val="3F251D"/>
        </w:rPr>
      </w:pPr>
      <w:r w:rsidRPr="0090237D">
        <w:rPr>
          <w:color w:val="3F251D"/>
        </w:rPr>
        <w:t>L’an dernier, nous avons annoncé que nous étudions la possibilité de tenir un atelier pour parler des projets d’histoire orale dans divers établissements culturels et patrimoniaux.</w:t>
      </w:r>
      <w:r w:rsidR="0090237D" w:rsidRPr="0090237D">
        <w:rPr>
          <w:color w:val="3F251D"/>
        </w:rPr>
        <w:t xml:space="preserve"> </w:t>
      </w:r>
      <w:r w:rsidRPr="0090237D">
        <w:rPr>
          <w:color w:val="3F251D"/>
        </w:rPr>
        <w:t>Nous avons déposé une demande au Programme pour les collectivités du patrimoine documentaire (PCPD), et nous venons tout juste d’apprendre que nous avons réussi à obtenir le financement pour cette activité.</w:t>
      </w:r>
      <w:r w:rsidR="0090237D" w:rsidRPr="0090237D">
        <w:rPr>
          <w:color w:val="3F251D"/>
        </w:rPr>
        <w:t xml:space="preserve"> </w:t>
      </w:r>
      <w:r w:rsidRPr="0090237D">
        <w:rPr>
          <w:color w:val="3F251D"/>
        </w:rPr>
        <w:t xml:space="preserve">Nous avons l’intention de nous associer à d’autres conseils d’archives dans la région de l’Atlantique, ainsi qu’au Conseil des bibliothèques </w:t>
      </w:r>
      <w:r w:rsidRPr="0090237D">
        <w:rPr>
          <w:color w:val="3F251D"/>
        </w:rPr>
        <w:lastRenderedPageBreak/>
        <w:t>universitaires de l'Atlantique (CBUA), qui vient de créer un sous-comité sur l’histoire orale. Ce sous-comité prévoit d’apporter son aide à cette activité.</w:t>
      </w:r>
      <w:r w:rsidR="0090237D" w:rsidRPr="0090237D">
        <w:rPr>
          <w:color w:val="3F251D"/>
        </w:rPr>
        <w:t xml:space="preserve"> </w:t>
      </w:r>
      <w:r w:rsidRPr="0090237D">
        <w:rPr>
          <w:color w:val="3F251D"/>
        </w:rPr>
        <w:t>Le CANB prévoit de diffuser cette activité en direct sur Internet, et souhaite s’associer au CBUA pour en archiver le contenu aux fins de consultation future.</w:t>
      </w:r>
      <w:r w:rsidR="00F3176D" w:rsidRPr="0090237D">
        <w:rPr>
          <w:color w:val="3F251D"/>
        </w:rPr>
        <w:t xml:space="preserve"> </w:t>
      </w:r>
      <w:r w:rsidRPr="0090237D">
        <w:rPr>
          <w:color w:val="3F251D"/>
        </w:rPr>
        <w:t>Cette approche de diffusion fait en sorte qu’une gamme variée d’organisations au Canada atlantique puisse participer à cette occasion unique.</w:t>
      </w:r>
      <w:r w:rsidR="0090237D" w:rsidRPr="0090237D">
        <w:rPr>
          <w:color w:val="3F251D"/>
        </w:rPr>
        <w:t xml:space="preserve"> </w:t>
      </w:r>
    </w:p>
    <w:p w14:paraId="3F12E102" w14:textId="6C209DA1" w:rsidR="00626B65" w:rsidRPr="0090237D" w:rsidRDefault="00CB229F" w:rsidP="0077265C">
      <w:pPr>
        <w:jc w:val="both"/>
        <w:rPr>
          <w:color w:val="3F251D"/>
        </w:rPr>
      </w:pPr>
      <w:r w:rsidRPr="0090237D">
        <w:rPr>
          <w:color w:val="3F251D"/>
        </w:rPr>
        <w:t>Nous avons aussi réussi à obtenir du financement par l’</w:t>
      </w:r>
      <w:r w:rsidR="00F3176D" w:rsidRPr="0090237D">
        <w:rPr>
          <w:color w:val="3F251D"/>
        </w:rPr>
        <w:t>intermédiaire</w:t>
      </w:r>
      <w:r w:rsidRPr="0090237D">
        <w:rPr>
          <w:color w:val="3F251D"/>
        </w:rPr>
        <w:t xml:space="preserve"> du PCPD afin de commanditer une table ronde lors du congrès annuel de l’automne de l’Association du Patrimoine Nouveau-Brunswick (APNB) à Miramichi du 23 au 25 octobre.</w:t>
      </w:r>
      <w:r w:rsidR="0090237D" w:rsidRPr="0090237D">
        <w:rPr>
          <w:color w:val="3F251D"/>
        </w:rPr>
        <w:t xml:space="preserve"> </w:t>
      </w:r>
      <w:r w:rsidRPr="0090237D">
        <w:rPr>
          <w:color w:val="3F251D"/>
        </w:rPr>
        <w:t>Cette table ronde portera sur comment les gens sans formation professionnelle en archivage se servent des documents.</w:t>
      </w:r>
      <w:r w:rsidR="0090237D" w:rsidRPr="0090237D">
        <w:rPr>
          <w:color w:val="3F251D"/>
        </w:rPr>
        <w:t xml:space="preserve"> </w:t>
      </w:r>
      <w:r w:rsidRPr="0090237D">
        <w:rPr>
          <w:color w:val="3F251D"/>
        </w:rPr>
        <w:t>La table ronde vise à montrer aux spécialistes du patrimoine comment le patrimoine documentaire est utilisé par le public afin de mieux promouvoir leurs fonds documentaires.</w:t>
      </w:r>
      <w:r w:rsidR="00F3176D" w:rsidRPr="0090237D">
        <w:rPr>
          <w:color w:val="3F251D"/>
        </w:rPr>
        <w:t xml:space="preserve"> </w:t>
      </w:r>
      <w:r w:rsidRPr="0090237D">
        <w:rPr>
          <w:color w:val="3F251D"/>
        </w:rPr>
        <w:t>La table ronde consistera en quatre participants, dont au moins un Acadien afin de représenter la communauté acadienne du Nouveau-Brunswick.</w:t>
      </w:r>
    </w:p>
    <w:p w14:paraId="524EE4FD" w14:textId="7BD18F49" w:rsidR="00626B65" w:rsidRPr="0090237D" w:rsidRDefault="00CB229F" w:rsidP="0077265C">
      <w:pPr>
        <w:jc w:val="both"/>
        <w:rPr>
          <w:color w:val="3F251D"/>
        </w:rPr>
      </w:pPr>
      <w:r w:rsidRPr="0090237D">
        <w:rPr>
          <w:color w:val="3F251D"/>
        </w:rPr>
        <w:t>Pendant l’assemblée générale annuelle de cette année, la composante formation portera sur le répertoriage des photographies avec comme conférenciers Josh Green (APBN – Fredericton) et Peter Larocque (Musée du Nouveau-Brunswick – Saint John).</w:t>
      </w:r>
      <w:r w:rsidR="0090237D" w:rsidRPr="0090237D">
        <w:rPr>
          <w:color w:val="3F251D"/>
        </w:rPr>
        <w:t xml:space="preserve"> </w:t>
      </w:r>
      <w:r w:rsidRPr="0090237D">
        <w:rPr>
          <w:color w:val="3F251D"/>
        </w:rPr>
        <w:t>Cela donnera l’occasion aux membres de poser des questions, de soulever des exemples qui les ont déroutés ou simplement d’apprendre quelques nouvelles astuces pour traiter les documents iconographiques.</w:t>
      </w:r>
    </w:p>
    <w:p w14:paraId="37B3AC5B" w14:textId="2106F167" w:rsidR="00626B65" w:rsidRPr="0090237D" w:rsidRDefault="00CB229F" w:rsidP="0077265C">
      <w:pPr>
        <w:jc w:val="both"/>
        <w:rPr>
          <w:color w:val="3F251D"/>
        </w:rPr>
      </w:pPr>
      <w:r w:rsidRPr="0090237D">
        <w:rPr>
          <w:color w:val="3F251D"/>
        </w:rPr>
        <w:t>Comme mentionné plus tôt, nous avons aussi financé la participation de membres institutionnels à un cours avancé du CNEA tenu à Fredericton en février.</w:t>
      </w:r>
      <w:r w:rsidR="0090237D" w:rsidRPr="0090237D">
        <w:rPr>
          <w:color w:val="3F251D"/>
        </w:rPr>
        <w:t xml:space="preserve"> </w:t>
      </w:r>
      <w:r w:rsidRPr="0090237D">
        <w:rPr>
          <w:color w:val="3F251D"/>
        </w:rPr>
        <w:t>Cette formation et cette certification permettent à des personnes dans la communauté de devenir plus habiles en évaluation monétaire, ce qui aide la communauté dans son ensemble à gérer cet aspect de son mandat si elle a un statut d'organisme de bienfaisance.</w:t>
      </w:r>
      <w:r w:rsidR="0090237D" w:rsidRPr="0090237D">
        <w:rPr>
          <w:color w:val="3F251D"/>
        </w:rPr>
        <w:t xml:space="preserve"> </w:t>
      </w:r>
    </w:p>
    <w:p w14:paraId="02E7EEDC" w14:textId="24D4840C" w:rsidR="004D4952" w:rsidRPr="0090237D" w:rsidRDefault="00CB229F" w:rsidP="0077265C">
      <w:pPr>
        <w:jc w:val="both"/>
        <w:rPr>
          <w:color w:val="3F251D"/>
        </w:rPr>
      </w:pPr>
      <w:r w:rsidRPr="0090237D">
        <w:rPr>
          <w:color w:val="3F251D"/>
        </w:rPr>
        <w:t>Ainsi se termine un bref survol de nos activités au cours de l’année qui vient de se terminer.</w:t>
      </w:r>
      <w:r w:rsidR="0090237D" w:rsidRPr="0090237D">
        <w:rPr>
          <w:color w:val="3F251D"/>
        </w:rPr>
        <w:t xml:space="preserve"> </w:t>
      </w:r>
      <w:r w:rsidRPr="0090237D">
        <w:rPr>
          <w:color w:val="3F251D"/>
        </w:rPr>
        <w:t>J’espère que ces activités renforceront le rôle du CANB pour ses membres et sauront témoigner d’une saine intendance en votre nom.</w:t>
      </w:r>
      <w:r w:rsidR="0090237D" w:rsidRPr="0090237D">
        <w:rPr>
          <w:color w:val="3F251D"/>
        </w:rPr>
        <w:t xml:space="preserve"> </w:t>
      </w:r>
      <w:r w:rsidRPr="0090237D">
        <w:rPr>
          <w:color w:val="3F251D"/>
        </w:rPr>
        <w:t>Ce fut un plaisir pour nous de travailler pour vous au cours de l’année.</w:t>
      </w:r>
      <w:r w:rsidR="0090237D" w:rsidRPr="0090237D">
        <w:rPr>
          <w:color w:val="3F251D"/>
        </w:rPr>
        <w:t xml:space="preserve"> </w:t>
      </w:r>
      <w:r w:rsidRPr="0090237D">
        <w:rPr>
          <w:color w:val="3F251D"/>
        </w:rPr>
        <w:t>Je pense que nous continuerons à faire des progrès dans les domaines mentionnés dans le présent rapport.</w:t>
      </w:r>
    </w:p>
    <w:p w14:paraId="16C3328F" w14:textId="6618A231" w:rsidR="004D4952" w:rsidRPr="0090237D" w:rsidRDefault="00CB229F" w:rsidP="0077265C">
      <w:pPr>
        <w:jc w:val="both"/>
        <w:rPr>
          <w:color w:val="3F251D"/>
        </w:rPr>
      </w:pPr>
      <w:r w:rsidRPr="0090237D">
        <w:rPr>
          <w:color w:val="3F251D"/>
        </w:rPr>
        <w:t>Nous accueillons volontiers toutes les suggestions et tous les commentaires des membres.</w:t>
      </w:r>
      <w:r w:rsidR="0090237D" w:rsidRPr="0090237D">
        <w:rPr>
          <w:color w:val="3F251D"/>
        </w:rPr>
        <w:t xml:space="preserve"> </w:t>
      </w:r>
      <w:r w:rsidRPr="0090237D">
        <w:rPr>
          <w:color w:val="3F251D"/>
        </w:rPr>
        <w:t>N’hésitez pas à communiquer avec n’importe qui parmi nous si vous avez des questions ou des préoccupations.</w:t>
      </w:r>
    </w:p>
    <w:p w14:paraId="59775A1D" w14:textId="3BF792F1" w:rsidR="004D4952" w:rsidRPr="0090237D" w:rsidRDefault="00CB229F" w:rsidP="00626B65">
      <w:pPr>
        <w:rPr>
          <w:color w:val="3F251D"/>
        </w:rPr>
      </w:pPr>
      <w:r w:rsidRPr="0090237D">
        <w:rPr>
          <w:color w:val="3F251D"/>
        </w:rPr>
        <w:t>Cordialement,</w:t>
      </w:r>
    </w:p>
    <w:p w14:paraId="52C8E3EC" w14:textId="77777777" w:rsidR="00626B65" w:rsidRPr="0090237D" w:rsidRDefault="00626B65" w:rsidP="00626B65">
      <w:pPr>
        <w:rPr>
          <w:color w:val="3F251D"/>
        </w:rPr>
      </w:pPr>
    </w:p>
    <w:p w14:paraId="7FDCC952" w14:textId="77777777" w:rsidR="00626B65" w:rsidRPr="0090237D" w:rsidRDefault="0086445D" w:rsidP="0086445D">
      <w:pPr>
        <w:tabs>
          <w:tab w:val="left" w:pos="2880"/>
          <w:tab w:val="left" w:pos="5040"/>
          <w:tab w:val="left" w:pos="8280"/>
        </w:tabs>
        <w:rPr>
          <w:color w:val="3F251D"/>
          <w:u w:val="single"/>
        </w:rPr>
      </w:pPr>
      <w:r w:rsidRPr="0090237D">
        <w:rPr>
          <w:color w:val="3F251D"/>
          <w:u w:val="single"/>
        </w:rPr>
        <w:tab/>
      </w:r>
      <w:r w:rsidRPr="0090237D">
        <w:rPr>
          <w:color w:val="3F251D"/>
        </w:rPr>
        <w:tab/>
      </w:r>
      <w:r w:rsidRPr="0090237D">
        <w:rPr>
          <w:color w:val="3F251D"/>
          <w:u w:val="single"/>
        </w:rPr>
        <w:tab/>
      </w:r>
    </w:p>
    <w:p w14:paraId="542440E7" w14:textId="150CDC08" w:rsidR="004D4952" w:rsidRPr="0090237D" w:rsidRDefault="00CB229F" w:rsidP="0086445D">
      <w:pPr>
        <w:tabs>
          <w:tab w:val="left" w:pos="5040"/>
        </w:tabs>
        <w:rPr>
          <w:color w:val="3F251D"/>
        </w:rPr>
      </w:pPr>
      <w:r w:rsidRPr="0090237D">
        <w:rPr>
          <w:color w:val="3F251D"/>
        </w:rPr>
        <w:t>David Mawhinney – Président</w:t>
      </w:r>
      <w:r w:rsidRPr="0090237D">
        <w:rPr>
          <w:color w:val="3F251D"/>
        </w:rPr>
        <w:tab/>
        <w:t>Julia Thompson – Vice-présidente</w:t>
      </w:r>
    </w:p>
    <w:p w14:paraId="0DDAD056" w14:textId="77777777" w:rsidR="00626B65" w:rsidRPr="0090237D" w:rsidRDefault="00626B65" w:rsidP="00626B65">
      <w:pPr>
        <w:rPr>
          <w:color w:val="3F251D"/>
        </w:rPr>
      </w:pPr>
    </w:p>
    <w:p w14:paraId="1E7734BB" w14:textId="77777777" w:rsidR="00626B65" w:rsidRPr="0090237D" w:rsidRDefault="0086445D" w:rsidP="0086445D">
      <w:pPr>
        <w:tabs>
          <w:tab w:val="left" w:pos="2880"/>
          <w:tab w:val="left" w:pos="5040"/>
          <w:tab w:val="left" w:pos="8280"/>
        </w:tabs>
        <w:rPr>
          <w:color w:val="3F251D"/>
          <w:u w:val="single"/>
        </w:rPr>
      </w:pPr>
      <w:r w:rsidRPr="0090237D">
        <w:rPr>
          <w:color w:val="3F251D"/>
          <w:u w:val="single"/>
        </w:rPr>
        <w:tab/>
      </w:r>
      <w:r w:rsidRPr="0090237D">
        <w:rPr>
          <w:color w:val="3F251D"/>
        </w:rPr>
        <w:tab/>
      </w:r>
      <w:r w:rsidRPr="0090237D">
        <w:rPr>
          <w:color w:val="3F251D"/>
          <w:u w:val="single"/>
        </w:rPr>
        <w:tab/>
      </w:r>
    </w:p>
    <w:p w14:paraId="5E2EBA55" w14:textId="14256FA1" w:rsidR="004D4952" w:rsidRPr="0090237D" w:rsidRDefault="00CB229F" w:rsidP="0086445D">
      <w:pPr>
        <w:tabs>
          <w:tab w:val="left" w:pos="5040"/>
        </w:tabs>
        <w:rPr>
          <w:color w:val="3F251D"/>
        </w:rPr>
      </w:pPr>
      <w:r w:rsidRPr="0090237D">
        <w:rPr>
          <w:color w:val="3F251D"/>
        </w:rPr>
        <w:t>Ava Sturgeon – Secrétaire</w:t>
      </w:r>
      <w:r w:rsidRPr="0090237D">
        <w:rPr>
          <w:color w:val="3F251D"/>
        </w:rPr>
        <w:tab/>
        <w:t>Christine Lovelace – Trésorière</w:t>
      </w:r>
    </w:p>
    <w:p w14:paraId="41AF24E6" w14:textId="77777777" w:rsidR="005D2B27" w:rsidRPr="0090237D" w:rsidRDefault="005D2B27">
      <w:pPr>
        <w:rPr>
          <w:color w:val="3F251D"/>
        </w:rPr>
      </w:pPr>
      <w:r w:rsidRPr="0090237D">
        <w:rPr>
          <w:color w:val="3F251D"/>
        </w:rPr>
        <w:br w:type="page"/>
      </w:r>
    </w:p>
    <w:p w14:paraId="7727531C" w14:textId="0C5B721D" w:rsidR="004D4952" w:rsidRPr="0090237D" w:rsidRDefault="00CB229F" w:rsidP="004D4952">
      <w:pPr>
        <w:pStyle w:val="Titre1"/>
        <w:rPr>
          <w:color w:val="3F251D"/>
        </w:rPr>
      </w:pPr>
      <w:bookmarkStart w:id="7" w:name="_Toc7683330"/>
      <w:r w:rsidRPr="0090237D">
        <w:rPr>
          <w:color w:val="3F251D"/>
        </w:rPr>
        <w:lastRenderedPageBreak/>
        <w:t>Rapport de la conseillère en archivistique</w:t>
      </w:r>
      <w:bookmarkEnd w:id="7"/>
    </w:p>
    <w:p w14:paraId="3AAC44EB" w14:textId="77777777" w:rsidR="005D2B27" w:rsidRPr="0090237D" w:rsidRDefault="005D2B27" w:rsidP="005D2B27">
      <w:pPr>
        <w:rPr>
          <w:b/>
          <w:color w:val="3F251D"/>
          <w:sz w:val="32"/>
        </w:rPr>
      </w:pPr>
    </w:p>
    <w:p w14:paraId="7DDCCD00" w14:textId="07A49C06" w:rsidR="004D4952" w:rsidRPr="0090237D" w:rsidRDefault="00CB229F" w:rsidP="005D2B27">
      <w:pPr>
        <w:rPr>
          <w:color w:val="3F251D"/>
        </w:rPr>
      </w:pPr>
      <w:r w:rsidRPr="0090237D">
        <w:rPr>
          <w:b/>
          <w:color w:val="3F251D"/>
          <w:sz w:val="28"/>
        </w:rPr>
        <w:t>Ateliers</w:t>
      </w:r>
    </w:p>
    <w:p w14:paraId="1AB16CD7" w14:textId="7F3398A7" w:rsidR="005D2B27" w:rsidRPr="0090237D" w:rsidRDefault="00CB229F" w:rsidP="0077265C">
      <w:pPr>
        <w:pStyle w:val="Paragraphedeliste"/>
        <w:numPr>
          <w:ilvl w:val="0"/>
          <w:numId w:val="22"/>
        </w:numPr>
        <w:jc w:val="both"/>
        <w:rPr>
          <w:color w:val="3F251D"/>
        </w:rPr>
      </w:pPr>
      <w:r w:rsidRPr="0090237D">
        <w:rPr>
          <w:color w:val="3F251D"/>
        </w:rPr>
        <w:t>20 août 2018 – Formation sur CANBArchives aux Charlotte County Archives</w:t>
      </w:r>
    </w:p>
    <w:p w14:paraId="23A9470E" w14:textId="3579FFDE" w:rsidR="005D2B27" w:rsidRPr="0090237D" w:rsidRDefault="00CB229F" w:rsidP="0077265C">
      <w:pPr>
        <w:pStyle w:val="Paragraphedeliste"/>
        <w:numPr>
          <w:ilvl w:val="0"/>
          <w:numId w:val="22"/>
        </w:numPr>
        <w:jc w:val="both"/>
        <w:rPr>
          <w:color w:val="3F251D"/>
        </w:rPr>
      </w:pPr>
      <w:r w:rsidRPr="0090237D">
        <w:rPr>
          <w:color w:val="3F251D"/>
        </w:rPr>
        <w:t>27 octobre 2018 – Formation sur les Règles pour la description des documents d’archives et CANBArchives au Musée du 8th Hussars</w:t>
      </w:r>
    </w:p>
    <w:p w14:paraId="30179A7C" w14:textId="0A8E9C69" w:rsidR="005D2B27" w:rsidRPr="0090237D" w:rsidRDefault="00CB229F" w:rsidP="0077265C">
      <w:pPr>
        <w:pStyle w:val="Paragraphedeliste"/>
        <w:numPr>
          <w:ilvl w:val="0"/>
          <w:numId w:val="22"/>
        </w:numPr>
        <w:jc w:val="both"/>
        <w:rPr>
          <w:color w:val="3F251D"/>
        </w:rPr>
      </w:pPr>
      <w:r w:rsidRPr="0090237D">
        <w:rPr>
          <w:color w:val="3F251D"/>
        </w:rPr>
        <w:t>19 novembre 2018 – Introduction aux archives avec Harvey Heritage</w:t>
      </w:r>
    </w:p>
    <w:p w14:paraId="148E5BF2" w14:textId="77777777" w:rsidR="005D2B27" w:rsidRPr="0090237D" w:rsidRDefault="005D2B27" w:rsidP="005D2B27">
      <w:pPr>
        <w:rPr>
          <w:color w:val="3F251D"/>
        </w:rPr>
      </w:pPr>
    </w:p>
    <w:p w14:paraId="3469FEAC" w14:textId="5B6D4358" w:rsidR="005F2BB6" w:rsidRPr="0090237D" w:rsidRDefault="00CB229F" w:rsidP="005D2B27">
      <w:pPr>
        <w:rPr>
          <w:color w:val="3F251D"/>
        </w:rPr>
      </w:pPr>
      <w:r w:rsidRPr="0090237D">
        <w:rPr>
          <w:b/>
          <w:color w:val="3F251D"/>
          <w:sz w:val="28"/>
        </w:rPr>
        <w:t>Visites sur place</w:t>
      </w:r>
    </w:p>
    <w:p w14:paraId="615BE952" w14:textId="3591B272" w:rsidR="005D2B27" w:rsidRPr="0090237D" w:rsidRDefault="00CB229F" w:rsidP="005D2B27">
      <w:pPr>
        <w:rPr>
          <w:color w:val="3F251D"/>
        </w:rPr>
      </w:pPr>
      <w:r w:rsidRPr="0090237D">
        <w:rPr>
          <w:color w:val="3F251D"/>
        </w:rPr>
        <w:t>Total depuis 2018 : 13</w:t>
      </w:r>
    </w:p>
    <w:p w14:paraId="1E12CAA7" w14:textId="3433837E" w:rsidR="005D2B27" w:rsidRPr="0090237D" w:rsidRDefault="00CB229F" w:rsidP="005D2B27">
      <w:pPr>
        <w:rPr>
          <w:color w:val="3F251D"/>
        </w:rPr>
      </w:pPr>
      <w:r w:rsidRPr="0090237D">
        <w:rPr>
          <w:color w:val="3F251D"/>
        </w:rPr>
        <w:t>Membres visités, et à quelle date :</w:t>
      </w:r>
    </w:p>
    <w:p w14:paraId="51F536AB" w14:textId="33083633" w:rsidR="005D2B27" w:rsidRPr="0090237D" w:rsidRDefault="00CB229F" w:rsidP="0077265C">
      <w:pPr>
        <w:pStyle w:val="Paragraphedeliste"/>
        <w:numPr>
          <w:ilvl w:val="0"/>
          <w:numId w:val="23"/>
        </w:numPr>
        <w:jc w:val="both"/>
        <w:rPr>
          <w:color w:val="3F251D"/>
        </w:rPr>
      </w:pPr>
      <w:r w:rsidRPr="0090237D">
        <w:rPr>
          <w:color w:val="3F251D"/>
        </w:rPr>
        <w:t>Musée du 8th Hussars – 27 octobre 2018 et 15 février 2019</w:t>
      </w:r>
    </w:p>
    <w:p w14:paraId="473F1B55" w14:textId="729B6EDA" w:rsidR="005D2B27" w:rsidRPr="0090237D" w:rsidRDefault="00CB229F" w:rsidP="0077265C">
      <w:pPr>
        <w:pStyle w:val="Paragraphedeliste"/>
        <w:numPr>
          <w:ilvl w:val="0"/>
          <w:numId w:val="23"/>
        </w:numPr>
        <w:jc w:val="both"/>
        <w:rPr>
          <w:color w:val="3F251D"/>
        </w:rPr>
      </w:pPr>
      <w:r w:rsidRPr="0090237D">
        <w:rPr>
          <w:color w:val="3F251D"/>
        </w:rPr>
        <w:t>Centre d’Études acadiennes – 25 octobre 2018</w:t>
      </w:r>
    </w:p>
    <w:p w14:paraId="5B086438" w14:textId="49C21328" w:rsidR="005D2B27" w:rsidRPr="0090237D" w:rsidRDefault="00CB229F" w:rsidP="0077265C">
      <w:pPr>
        <w:pStyle w:val="Paragraphedeliste"/>
        <w:numPr>
          <w:ilvl w:val="0"/>
          <w:numId w:val="23"/>
        </w:numPr>
        <w:jc w:val="both"/>
        <w:rPr>
          <w:color w:val="3F251D"/>
          <w:lang w:val="en-CA"/>
        </w:rPr>
      </w:pPr>
      <w:r w:rsidRPr="0090237D">
        <w:rPr>
          <w:color w:val="3F251D"/>
          <w:lang w:val="en-CA"/>
        </w:rPr>
        <w:t>Charlotte County Archives – 20 septembre 2018</w:t>
      </w:r>
    </w:p>
    <w:p w14:paraId="6BF9981A" w14:textId="2A679277" w:rsidR="005D2B27" w:rsidRPr="0090237D" w:rsidRDefault="00CB229F" w:rsidP="0077265C">
      <w:pPr>
        <w:pStyle w:val="Paragraphedeliste"/>
        <w:numPr>
          <w:ilvl w:val="0"/>
          <w:numId w:val="23"/>
        </w:numPr>
        <w:jc w:val="both"/>
        <w:rPr>
          <w:color w:val="3F251D"/>
        </w:rPr>
      </w:pPr>
      <w:r w:rsidRPr="0090237D">
        <w:rPr>
          <w:color w:val="3F251D"/>
        </w:rPr>
        <w:t>Musée de la région de Fredericton – 19 septembre 2018</w:t>
      </w:r>
    </w:p>
    <w:p w14:paraId="614CFC87" w14:textId="4C9D9581" w:rsidR="005D2B27" w:rsidRPr="0090237D" w:rsidRDefault="00CB229F" w:rsidP="0077265C">
      <w:pPr>
        <w:pStyle w:val="Paragraphedeliste"/>
        <w:numPr>
          <w:ilvl w:val="0"/>
          <w:numId w:val="23"/>
        </w:numPr>
        <w:jc w:val="both"/>
        <w:rPr>
          <w:color w:val="3F251D"/>
        </w:rPr>
      </w:pPr>
      <w:r w:rsidRPr="0090237D">
        <w:rPr>
          <w:color w:val="3F251D"/>
        </w:rPr>
        <w:t>Musée et archives de Grand Manan – 21 septembre 2018</w:t>
      </w:r>
    </w:p>
    <w:p w14:paraId="6180B436" w14:textId="09346AA0" w:rsidR="005D2B27" w:rsidRPr="0090237D" w:rsidRDefault="00CB229F" w:rsidP="0077265C">
      <w:pPr>
        <w:pStyle w:val="Paragraphedeliste"/>
        <w:numPr>
          <w:ilvl w:val="0"/>
          <w:numId w:val="23"/>
        </w:numPr>
        <w:jc w:val="both"/>
        <w:rPr>
          <w:color w:val="3F251D"/>
          <w:lang w:val="en-CA"/>
        </w:rPr>
      </w:pPr>
      <w:r w:rsidRPr="0090237D">
        <w:rPr>
          <w:color w:val="3F251D"/>
          <w:lang w:val="en-CA"/>
        </w:rPr>
        <w:t>Harvey Heritage – 19 novembre 2018</w:t>
      </w:r>
    </w:p>
    <w:p w14:paraId="218E6E69" w14:textId="42C2920D" w:rsidR="005D2B27" w:rsidRPr="0090237D" w:rsidRDefault="00CB229F" w:rsidP="0077265C">
      <w:pPr>
        <w:pStyle w:val="Paragraphedeliste"/>
        <w:numPr>
          <w:ilvl w:val="0"/>
          <w:numId w:val="23"/>
        </w:numPr>
        <w:jc w:val="both"/>
        <w:rPr>
          <w:color w:val="3F251D"/>
          <w:lang w:val="en-CA"/>
        </w:rPr>
      </w:pPr>
      <w:r w:rsidRPr="0090237D">
        <w:rPr>
          <w:color w:val="3F251D"/>
          <w:lang w:val="en-CA"/>
        </w:rPr>
        <w:t>Lutz Mountain Heritage Foundation – 31 octobre 2018</w:t>
      </w:r>
    </w:p>
    <w:p w14:paraId="702E701C" w14:textId="2BA7844E" w:rsidR="005D2B27" w:rsidRPr="0090237D" w:rsidRDefault="00CB229F" w:rsidP="0077265C">
      <w:pPr>
        <w:pStyle w:val="Paragraphedeliste"/>
        <w:numPr>
          <w:ilvl w:val="0"/>
          <w:numId w:val="23"/>
        </w:numPr>
        <w:jc w:val="both"/>
        <w:rPr>
          <w:color w:val="3F251D"/>
        </w:rPr>
      </w:pPr>
      <w:r w:rsidRPr="0090237D">
        <w:rPr>
          <w:color w:val="3F251D"/>
        </w:rPr>
        <w:t>Place Resurgo – 8 novembre 2018</w:t>
      </w:r>
    </w:p>
    <w:p w14:paraId="408FC454" w14:textId="3A7B0E3E" w:rsidR="005D2B27" w:rsidRPr="0090237D" w:rsidRDefault="00CB229F" w:rsidP="0077265C">
      <w:pPr>
        <w:pStyle w:val="Paragraphedeliste"/>
        <w:numPr>
          <w:ilvl w:val="0"/>
          <w:numId w:val="23"/>
        </w:numPr>
        <w:jc w:val="both"/>
        <w:rPr>
          <w:color w:val="3F251D"/>
        </w:rPr>
      </w:pPr>
      <w:r w:rsidRPr="0090237D">
        <w:rPr>
          <w:color w:val="3F251D"/>
        </w:rPr>
        <w:t>Monastère trappiste – 3 décembre 2018</w:t>
      </w:r>
    </w:p>
    <w:p w14:paraId="666BA28E" w14:textId="564F9D42" w:rsidR="005D2B27" w:rsidRPr="0090237D" w:rsidRDefault="00CB229F" w:rsidP="0077265C">
      <w:pPr>
        <w:pStyle w:val="Paragraphedeliste"/>
        <w:numPr>
          <w:ilvl w:val="0"/>
          <w:numId w:val="23"/>
        </w:numPr>
        <w:jc w:val="both"/>
        <w:rPr>
          <w:color w:val="3F251D"/>
          <w:lang w:val="en-CA"/>
        </w:rPr>
      </w:pPr>
      <w:r w:rsidRPr="0090237D">
        <w:rPr>
          <w:color w:val="3F251D"/>
          <w:lang w:val="en-CA"/>
        </w:rPr>
        <w:t>Carleton County Historical Society – 14 février 2019</w:t>
      </w:r>
    </w:p>
    <w:p w14:paraId="4A480BD5" w14:textId="21C786F5" w:rsidR="005D2B27" w:rsidRPr="0090237D" w:rsidRDefault="00CB229F" w:rsidP="0077265C">
      <w:pPr>
        <w:pStyle w:val="Paragraphedeliste"/>
        <w:numPr>
          <w:ilvl w:val="0"/>
          <w:numId w:val="23"/>
        </w:numPr>
        <w:jc w:val="both"/>
        <w:rPr>
          <w:color w:val="3F251D"/>
          <w:lang w:val="en-CA"/>
        </w:rPr>
      </w:pPr>
      <w:r w:rsidRPr="0090237D">
        <w:rPr>
          <w:color w:val="3F251D"/>
          <w:lang w:val="en-CA"/>
        </w:rPr>
        <w:t>Archives du New Brunswick Girl Guide Council – 25 mars 2019</w:t>
      </w:r>
    </w:p>
    <w:p w14:paraId="48FAD9F2" w14:textId="424EFFBC" w:rsidR="005D2B27" w:rsidRPr="0090237D" w:rsidRDefault="00CB229F" w:rsidP="0077265C">
      <w:pPr>
        <w:pStyle w:val="Paragraphedeliste"/>
        <w:numPr>
          <w:ilvl w:val="0"/>
          <w:numId w:val="23"/>
        </w:numPr>
        <w:jc w:val="both"/>
        <w:rPr>
          <w:color w:val="3F251D"/>
          <w:lang w:val="en-CA"/>
        </w:rPr>
      </w:pPr>
      <w:r w:rsidRPr="0090237D">
        <w:rPr>
          <w:color w:val="3F251D"/>
          <w:lang w:val="en-CA"/>
        </w:rPr>
        <w:t>Peninsula Heritage – 27 mars 2019</w:t>
      </w:r>
    </w:p>
    <w:p w14:paraId="5A880483" w14:textId="77777777" w:rsidR="005D2B27" w:rsidRPr="0090237D" w:rsidRDefault="005D2B27" w:rsidP="005D2B27">
      <w:pPr>
        <w:rPr>
          <w:color w:val="3F251D"/>
          <w:sz w:val="20"/>
          <w:lang w:val="en-CA"/>
        </w:rPr>
      </w:pPr>
    </w:p>
    <w:p w14:paraId="2F21E923" w14:textId="328AF54E" w:rsidR="005D2B27" w:rsidRPr="0090237D" w:rsidRDefault="00CB229F" w:rsidP="005D2B27">
      <w:pPr>
        <w:rPr>
          <w:color w:val="3F251D"/>
        </w:rPr>
      </w:pPr>
      <w:r w:rsidRPr="0090237D">
        <w:rPr>
          <w:b/>
          <w:color w:val="3F251D"/>
          <w:sz w:val="28"/>
        </w:rPr>
        <w:t xml:space="preserve">Réunions </w:t>
      </w:r>
    </w:p>
    <w:p w14:paraId="42F9AB7F" w14:textId="550D8CCE" w:rsidR="005D2B27" w:rsidRPr="0090237D" w:rsidRDefault="00CB229F" w:rsidP="0077265C">
      <w:pPr>
        <w:pStyle w:val="Paragraphedeliste"/>
        <w:numPr>
          <w:ilvl w:val="0"/>
          <w:numId w:val="24"/>
        </w:numPr>
        <w:jc w:val="both"/>
        <w:rPr>
          <w:color w:val="3F251D"/>
        </w:rPr>
      </w:pPr>
      <w:r w:rsidRPr="0090237D">
        <w:rPr>
          <w:color w:val="3F251D"/>
        </w:rPr>
        <w:t>2 octobre 2018 – Téléconférence des conseillers en archivistique</w:t>
      </w:r>
    </w:p>
    <w:p w14:paraId="7F35016C" w14:textId="627164EE" w:rsidR="005D2B27" w:rsidRPr="0090237D" w:rsidRDefault="00CB229F" w:rsidP="0077265C">
      <w:pPr>
        <w:pStyle w:val="Paragraphedeliste"/>
        <w:numPr>
          <w:ilvl w:val="0"/>
          <w:numId w:val="24"/>
        </w:numPr>
        <w:jc w:val="both"/>
        <w:rPr>
          <w:color w:val="3F251D"/>
        </w:rPr>
      </w:pPr>
      <w:r w:rsidRPr="0090237D">
        <w:rPr>
          <w:color w:val="3F251D"/>
        </w:rPr>
        <w:t>18 octobre 2018 – Assemblée générale annuelle de l’Association du Patrimoine Nouveau-Brunswick</w:t>
      </w:r>
    </w:p>
    <w:p w14:paraId="2F8487B8" w14:textId="3D7F38C1" w:rsidR="005D2B27" w:rsidRPr="0090237D" w:rsidRDefault="00CB229F" w:rsidP="0077265C">
      <w:pPr>
        <w:pStyle w:val="Paragraphedeliste"/>
        <w:numPr>
          <w:ilvl w:val="0"/>
          <w:numId w:val="24"/>
        </w:numPr>
        <w:jc w:val="both"/>
        <w:rPr>
          <w:color w:val="3F251D"/>
        </w:rPr>
      </w:pPr>
      <w:r w:rsidRPr="0090237D">
        <w:rPr>
          <w:color w:val="3F251D"/>
        </w:rPr>
        <w:t>25 octobre 2018 – Centre d’études acadiennes et le Musée acadien</w:t>
      </w:r>
    </w:p>
    <w:p w14:paraId="0A575E83" w14:textId="6A9BFFF6" w:rsidR="005D2B27" w:rsidRPr="0090237D" w:rsidRDefault="00CB229F" w:rsidP="0077265C">
      <w:pPr>
        <w:pStyle w:val="Paragraphedeliste"/>
        <w:numPr>
          <w:ilvl w:val="0"/>
          <w:numId w:val="24"/>
        </w:numPr>
        <w:jc w:val="both"/>
        <w:rPr>
          <w:color w:val="3F251D"/>
        </w:rPr>
      </w:pPr>
      <w:r w:rsidRPr="0090237D">
        <w:rPr>
          <w:color w:val="3F251D"/>
        </w:rPr>
        <w:t>30 octobre 2018 – Association du Patrimoine Nouveau-Brunswick</w:t>
      </w:r>
    </w:p>
    <w:p w14:paraId="54D171B3" w14:textId="1F2450A1" w:rsidR="005D2B27" w:rsidRPr="0090237D" w:rsidRDefault="00CB229F" w:rsidP="0077265C">
      <w:pPr>
        <w:pStyle w:val="Paragraphedeliste"/>
        <w:numPr>
          <w:ilvl w:val="0"/>
          <w:numId w:val="24"/>
        </w:numPr>
        <w:jc w:val="both"/>
        <w:rPr>
          <w:color w:val="3F251D"/>
        </w:rPr>
      </w:pPr>
      <w:r w:rsidRPr="0090237D">
        <w:rPr>
          <w:color w:val="3F251D"/>
        </w:rPr>
        <w:t xml:space="preserve">26 février 2019 – Téléconférence des conseillers en archivistique </w:t>
      </w:r>
    </w:p>
    <w:p w14:paraId="0203BD04" w14:textId="77777777" w:rsidR="005D2B27" w:rsidRPr="0090237D" w:rsidRDefault="005D2B27" w:rsidP="005D2B27">
      <w:pPr>
        <w:rPr>
          <w:color w:val="3F251D"/>
          <w:sz w:val="24"/>
        </w:rPr>
      </w:pPr>
    </w:p>
    <w:p w14:paraId="647705E3" w14:textId="77777777" w:rsidR="005D2B27" w:rsidRPr="0090237D" w:rsidRDefault="005D2B27" w:rsidP="005D2B27">
      <w:pPr>
        <w:rPr>
          <w:b/>
          <w:color w:val="3F251D"/>
          <w:sz w:val="28"/>
        </w:rPr>
      </w:pPr>
    </w:p>
    <w:p w14:paraId="4529C197" w14:textId="11CC08AE" w:rsidR="005F2BB6" w:rsidRPr="0090237D" w:rsidRDefault="00CB229F" w:rsidP="005D2B27">
      <w:pPr>
        <w:rPr>
          <w:color w:val="3F251D"/>
        </w:rPr>
      </w:pPr>
      <w:r w:rsidRPr="0090237D">
        <w:rPr>
          <w:b/>
          <w:color w:val="3F251D"/>
          <w:sz w:val="28"/>
        </w:rPr>
        <w:t>Subventions fédérales</w:t>
      </w:r>
    </w:p>
    <w:p w14:paraId="6DF48C74" w14:textId="2B081DD7" w:rsidR="005D2B27" w:rsidRPr="0090237D" w:rsidRDefault="00CB229F" w:rsidP="0077265C">
      <w:pPr>
        <w:jc w:val="both"/>
        <w:rPr>
          <w:color w:val="3F251D"/>
        </w:rPr>
      </w:pPr>
      <w:r w:rsidRPr="0090237D">
        <w:rPr>
          <w:color w:val="3F251D"/>
        </w:rPr>
        <w:t>Le CANB a déposé deux</w:t>
      </w:r>
      <w:r w:rsidR="00F3176D" w:rsidRPr="0090237D">
        <w:rPr>
          <w:color w:val="3F251D"/>
        </w:rPr>
        <w:t> </w:t>
      </w:r>
      <w:r w:rsidRPr="0090237D">
        <w:rPr>
          <w:color w:val="3F251D"/>
        </w:rPr>
        <w:t>demandes de subvention auprès du PCPD, qui ont toutes deux été acceptées.</w:t>
      </w:r>
      <w:r w:rsidR="0090237D" w:rsidRPr="0090237D">
        <w:rPr>
          <w:color w:val="3F251D"/>
        </w:rPr>
        <w:t xml:space="preserve"> </w:t>
      </w:r>
      <w:r w:rsidRPr="0090237D">
        <w:rPr>
          <w:color w:val="3F251D"/>
        </w:rPr>
        <w:t>Une demande visait l’organisation d’une table ronde sur la façon dont les gens utilisent les documents d’archives, afin d’aider les archivistes à comprendre comment leurs fonds documentaires sont utilisés.</w:t>
      </w:r>
      <w:r w:rsidR="00F3176D" w:rsidRPr="0090237D">
        <w:rPr>
          <w:color w:val="3F251D"/>
        </w:rPr>
        <w:t xml:space="preserve"> </w:t>
      </w:r>
      <w:r w:rsidRPr="0090237D">
        <w:rPr>
          <w:color w:val="3F251D"/>
        </w:rPr>
        <w:t>La deuxième visait l’organisation d’un colloque sur l’histoire orale au Canada atlantique à Charlottetown, conjointement avec le Council of Nova Scotia Archives, le CBUA, le Archives Council of Prince Edward Island et la Association of Newfoundland &amp; Labrador Archives.</w:t>
      </w:r>
    </w:p>
    <w:p w14:paraId="59BD2CBC" w14:textId="2435A7CA" w:rsidR="005D2B27" w:rsidRPr="0090237D" w:rsidRDefault="00CB229F" w:rsidP="0077265C">
      <w:pPr>
        <w:ind w:left="720"/>
        <w:jc w:val="both"/>
        <w:rPr>
          <w:color w:val="3F251D"/>
        </w:rPr>
      </w:pPr>
      <w:r w:rsidRPr="0090237D">
        <w:rPr>
          <w:color w:val="3F251D"/>
        </w:rPr>
        <w:t>De plus amples renseignements sur les deux</w:t>
      </w:r>
      <w:r w:rsidR="00F3176D" w:rsidRPr="0090237D">
        <w:rPr>
          <w:color w:val="3F251D"/>
        </w:rPr>
        <w:t> </w:t>
      </w:r>
      <w:r w:rsidRPr="0090237D">
        <w:rPr>
          <w:color w:val="3F251D"/>
        </w:rPr>
        <w:t>projets seront publiés au cours des prochains mois.</w:t>
      </w:r>
    </w:p>
    <w:p w14:paraId="496A0608" w14:textId="77777777" w:rsidR="005D2B27" w:rsidRPr="0090237D" w:rsidRDefault="005D2B27" w:rsidP="005D2B27">
      <w:pPr>
        <w:rPr>
          <w:color w:val="3F251D"/>
          <w:sz w:val="20"/>
        </w:rPr>
      </w:pPr>
    </w:p>
    <w:p w14:paraId="037643AA" w14:textId="21759985" w:rsidR="005D2B27" w:rsidRPr="0090237D" w:rsidRDefault="00CB229F" w:rsidP="005D2B27">
      <w:pPr>
        <w:rPr>
          <w:b/>
          <w:color w:val="3F251D"/>
          <w:sz w:val="28"/>
        </w:rPr>
      </w:pPr>
      <w:r w:rsidRPr="0090237D">
        <w:rPr>
          <w:b/>
          <w:color w:val="3F251D"/>
          <w:sz w:val="28"/>
        </w:rPr>
        <w:t>Nouvelles demandes auprès du programme de subventions du CANB</w:t>
      </w:r>
    </w:p>
    <w:p w14:paraId="6B0E93AB" w14:textId="013DBA10" w:rsidR="005D2B27" w:rsidRPr="0090237D" w:rsidRDefault="00CB229F" w:rsidP="00081B15">
      <w:pPr>
        <w:jc w:val="both"/>
        <w:rPr>
          <w:color w:val="3F251D"/>
        </w:rPr>
      </w:pPr>
      <w:r w:rsidRPr="0090237D">
        <w:rPr>
          <w:color w:val="3F251D"/>
        </w:rPr>
        <w:t>De nouvelles demandes de subventions auprès du programme de subventions du CANB ont été créées afin de faciliter le processus de demande.</w:t>
      </w:r>
      <w:r w:rsidR="0090237D" w:rsidRPr="0090237D">
        <w:rPr>
          <w:color w:val="3F251D"/>
        </w:rPr>
        <w:t xml:space="preserve"> </w:t>
      </w:r>
      <w:r w:rsidRPr="0090237D">
        <w:rPr>
          <w:color w:val="3F251D"/>
        </w:rPr>
        <w:t>Il a été décidé de créer une demande différente pour chaque choix de financement disponible, ce qui a donné lieu à sept formulaires de demande.</w:t>
      </w:r>
      <w:r w:rsidR="00F3176D" w:rsidRPr="0090237D">
        <w:rPr>
          <w:color w:val="3F251D"/>
        </w:rPr>
        <w:t xml:space="preserve"> </w:t>
      </w:r>
      <w:r w:rsidRPr="0090237D">
        <w:rPr>
          <w:color w:val="3F251D"/>
        </w:rPr>
        <w:t>Afin que cessent les erreurs dans la section Budget des demandes de Classement et description, de Reclassement et description, Remise en forme, migration et numérisation et Formation et perfectionnement professionnel, une feuille de calcul Excel a été créée pour accompagner chaque formulaire.</w:t>
      </w:r>
      <w:r w:rsidR="0090237D" w:rsidRPr="0090237D">
        <w:rPr>
          <w:color w:val="3F251D"/>
        </w:rPr>
        <w:t xml:space="preserve"> </w:t>
      </w:r>
    </w:p>
    <w:p w14:paraId="2943E8D4" w14:textId="77777777" w:rsidR="005D2B27" w:rsidRPr="0090237D" w:rsidRDefault="005D2B27" w:rsidP="005D2B27">
      <w:pPr>
        <w:rPr>
          <w:color w:val="3F251D"/>
          <w:sz w:val="24"/>
        </w:rPr>
      </w:pPr>
    </w:p>
    <w:p w14:paraId="2D47E176" w14:textId="098E368A" w:rsidR="005F2BB6" w:rsidRPr="0090237D" w:rsidRDefault="00CB229F" w:rsidP="005D2B27">
      <w:pPr>
        <w:rPr>
          <w:color w:val="3F251D"/>
        </w:rPr>
      </w:pPr>
      <w:r w:rsidRPr="0090237D">
        <w:rPr>
          <w:b/>
          <w:color w:val="3F251D"/>
          <w:sz w:val="28"/>
        </w:rPr>
        <w:t>Formation</w:t>
      </w:r>
    </w:p>
    <w:p w14:paraId="39A13A8B" w14:textId="70C461B3" w:rsidR="005D2B27" w:rsidRPr="0090237D" w:rsidRDefault="00CB229F" w:rsidP="00081B15">
      <w:pPr>
        <w:jc w:val="both"/>
        <w:rPr>
          <w:color w:val="3F251D"/>
        </w:rPr>
      </w:pPr>
      <w:r w:rsidRPr="0090237D">
        <w:rPr>
          <w:color w:val="3F251D"/>
        </w:rPr>
        <w:t>Depuis son entrée en poste en août 2018, la conseillère en archivistique a suivi les formations suivantes :</w:t>
      </w:r>
    </w:p>
    <w:p w14:paraId="794FB5B1" w14:textId="0A490B23" w:rsidR="005D2B27" w:rsidRPr="0090237D" w:rsidRDefault="00CB229F" w:rsidP="00081B15">
      <w:pPr>
        <w:pStyle w:val="Paragraphedeliste"/>
        <w:numPr>
          <w:ilvl w:val="0"/>
          <w:numId w:val="25"/>
        </w:numPr>
        <w:jc w:val="both"/>
        <w:rPr>
          <w:color w:val="3F251D"/>
        </w:rPr>
      </w:pPr>
      <w:r w:rsidRPr="0090237D">
        <w:rPr>
          <w:color w:val="3F251D"/>
        </w:rPr>
        <w:t>Gestion de collection archivistique, Université de Victoria – de septembre à décembre 2018</w:t>
      </w:r>
    </w:p>
    <w:p w14:paraId="01FA4748" w14:textId="3AD195E8" w:rsidR="005D2B27" w:rsidRPr="0090237D" w:rsidRDefault="00CB229F" w:rsidP="00081B15">
      <w:pPr>
        <w:pStyle w:val="Paragraphedeliste"/>
        <w:numPr>
          <w:ilvl w:val="0"/>
          <w:numId w:val="25"/>
        </w:numPr>
        <w:jc w:val="both"/>
        <w:rPr>
          <w:color w:val="3F251D"/>
        </w:rPr>
      </w:pPr>
      <w:r w:rsidRPr="0090237D">
        <w:rPr>
          <w:color w:val="3F251D"/>
        </w:rPr>
        <w:t>Cours de français, Université du Nouveau-Brunswick – automne 2018 et hiver 2019</w:t>
      </w:r>
    </w:p>
    <w:p w14:paraId="798D51EB" w14:textId="32C3ECD0" w:rsidR="005D2B27" w:rsidRPr="0090237D" w:rsidRDefault="00CB229F" w:rsidP="00081B15">
      <w:pPr>
        <w:pStyle w:val="Paragraphedeliste"/>
        <w:numPr>
          <w:ilvl w:val="0"/>
          <w:numId w:val="25"/>
        </w:numPr>
        <w:jc w:val="both"/>
        <w:rPr>
          <w:color w:val="3F251D"/>
        </w:rPr>
      </w:pPr>
      <w:r w:rsidRPr="0090237D">
        <w:rPr>
          <w:color w:val="3F251D"/>
        </w:rPr>
        <w:t>Introduction au droit d’auteur, webinaire du Conseil canadien des archives – du 4 au 6 mars 2019</w:t>
      </w:r>
    </w:p>
    <w:p w14:paraId="3D8CB07D" w14:textId="77777777" w:rsidR="005D2B27" w:rsidRPr="0090237D" w:rsidRDefault="005D2B27" w:rsidP="005D2B27">
      <w:pPr>
        <w:rPr>
          <w:b/>
          <w:color w:val="3F251D"/>
          <w:sz w:val="32"/>
        </w:rPr>
      </w:pPr>
    </w:p>
    <w:p w14:paraId="595B8F97" w14:textId="4333AB21" w:rsidR="005F2BB6" w:rsidRPr="0090237D" w:rsidRDefault="00CB229F" w:rsidP="005D2B27">
      <w:pPr>
        <w:rPr>
          <w:color w:val="3F251D"/>
        </w:rPr>
      </w:pPr>
      <w:r w:rsidRPr="0090237D">
        <w:rPr>
          <w:b/>
          <w:color w:val="3F251D"/>
          <w:sz w:val="28"/>
        </w:rPr>
        <w:t>Évaluation des besoins</w:t>
      </w:r>
    </w:p>
    <w:p w14:paraId="28A06814" w14:textId="19C6DFDC" w:rsidR="005D2B27" w:rsidRPr="0090237D" w:rsidRDefault="00CB229F" w:rsidP="00081B15">
      <w:pPr>
        <w:jc w:val="both"/>
        <w:rPr>
          <w:color w:val="3F251D"/>
        </w:rPr>
      </w:pPr>
      <w:r w:rsidRPr="0090237D">
        <w:rPr>
          <w:color w:val="3F251D"/>
        </w:rPr>
        <w:lastRenderedPageBreak/>
        <w:t>Les résultats de l’évaluation des besoins de 2015 ont été compilés sous forme de rapport afin d’en mettre en relief les résultats.</w:t>
      </w:r>
      <w:r w:rsidR="0090237D" w:rsidRPr="0090237D">
        <w:rPr>
          <w:color w:val="3F251D"/>
        </w:rPr>
        <w:t xml:space="preserve"> </w:t>
      </w:r>
      <w:r w:rsidRPr="0090237D">
        <w:rPr>
          <w:color w:val="3F251D"/>
        </w:rPr>
        <w:t>Le rapport a été présenté au comité exécutif, de même que les recommandations de la conseillère en archivistique concernant ses conclusions.</w:t>
      </w:r>
      <w:r w:rsidR="00DA2BA1" w:rsidRPr="0090237D">
        <w:rPr>
          <w:color w:val="3F251D"/>
        </w:rPr>
        <w:t xml:space="preserve"> </w:t>
      </w:r>
      <w:r w:rsidRPr="0090237D">
        <w:rPr>
          <w:color w:val="3F251D"/>
        </w:rPr>
        <w:t>Certaines des recommandations encouragent les membres à tenir des statistiques sur les visiteurs et leurs requêtes et à utiliser CANBArchives, et proposent de mieux annoncer les ateliers proposés par le CANB.</w:t>
      </w:r>
      <w:r w:rsidR="0090237D" w:rsidRPr="0090237D">
        <w:rPr>
          <w:color w:val="3F251D"/>
        </w:rPr>
        <w:t xml:space="preserve"> </w:t>
      </w:r>
    </w:p>
    <w:p w14:paraId="2CC58109" w14:textId="77777777" w:rsidR="005D2B27" w:rsidRPr="0090237D" w:rsidRDefault="005D2B27" w:rsidP="005D2B27">
      <w:pPr>
        <w:rPr>
          <w:color w:val="3F251D"/>
        </w:rPr>
      </w:pPr>
    </w:p>
    <w:p w14:paraId="2FF411D5" w14:textId="67F708B5" w:rsidR="005F2BB6" w:rsidRPr="0090237D" w:rsidRDefault="00CB229F" w:rsidP="005D2B27">
      <w:pPr>
        <w:rPr>
          <w:color w:val="3F251D"/>
        </w:rPr>
      </w:pPr>
      <w:r w:rsidRPr="0090237D">
        <w:rPr>
          <w:b/>
          <w:color w:val="3F251D"/>
          <w:sz w:val="28"/>
        </w:rPr>
        <w:t>Recrutement</w:t>
      </w:r>
    </w:p>
    <w:p w14:paraId="415CF0DF" w14:textId="7E74EEAA" w:rsidR="005D2B27" w:rsidRPr="0090237D" w:rsidRDefault="00CB229F" w:rsidP="00081B15">
      <w:pPr>
        <w:jc w:val="both"/>
        <w:rPr>
          <w:color w:val="3F251D"/>
        </w:rPr>
      </w:pPr>
      <w:r w:rsidRPr="0090237D">
        <w:rPr>
          <w:color w:val="3F251D"/>
        </w:rPr>
        <w:t>Au total, 152 lettres ont été envoyées pendant la semaine du 11 mars 2019 à divers musées, associations historiques, culturelles, artistiques et sportives à travers le Nouveau-Brunswick qui pourraient avoir en leur possession des collections ou des documents d’archives.</w:t>
      </w:r>
      <w:r w:rsidR="0090237D" w:rsidRPr="0090237D">
        <w:rPr>
          <w:color w:val="3F251D"/>
        </w:rPr>
        <w:t xml:space="preserve"> </w:t>
      </w:r>
      <w:r w:rsidRPr="0090237D">
        <w:rPr>
          <w:color w:val="3F251D"/>
          <w:szCs w:val="24"/>
        </w:rPr>
        <w:t>La lettre dressait une liste des services et des avantages offerts aux membres du CANB et invitait ces organismes à devenir membres.</w:t>
      </w:r>
      <w:r w:rsidR="00BD551C" w:rsidRPr="0090237D">
        <w:rPr>
          <w:color w:val="3F251D"/>
          <w:szCs w:val="24"/>
        </w:rPr>
        <w:t xml:space="preserve"> </w:t>
      </w:r>
      <w:r w:rsidRPr="0090237D">
        <w:rPr>
          <w:color w:val="3F251D"/>
          <w:szCs w:val="24"/>
        </w:rPr>
        <w:t>La liste a été compilée à partir de celle créée pour la campagne de recrutement de 2016, des musées présentés sur le site Web de l’Association du Patrimoine Nouveau-Brunswick, du site Web de SportNB et du site Web de l'Association multiculturelle de Fredericton.</w:t>
      </w:r>
      <w:r w:rsidR="0090237D" w:rsidRPr="0090237D">
        <w:rPr>
          <w:color w:val="3F251D"/>
        </w:rPr>
        <w:t xml:space="preserve"> </w:t>
      </w:r>
    </w:p>
    <w:p w14:paraId="25916258" w14:textId="77777777" w:rsidR="005D2B27" w:rsidRPr="0090237D" w:rsidRDefault="005D2B27" w:rsidP="005D2B27">
      <w:pPr>
        <w:rPr>
          <w:color w:val="3F251D"/>
        </w:rPr>
      </w:pPr>
    </w:p>
    <w:p w14:paraId="5576A0CF" w14:textId="6A90B595" w:rsidR="005D2B27" w:rsidRPr="0090237D" w:rsidRDefault="00CB229F" w:rsidP="005D2B27">
      <w:pPr>
        <w:rPr>
          <w:b/>
          <w:color w:val="3F251D"/>
          <w:sz w:val="28"/>
        </w:rPr>
      </w:pPr>
      <w:r w:rsidRPr="0090237D">
        <w:rPr>
          <w:b/>
          <w:color w:val="3F251D"/>
          <w:sz w:val="28"/>
        </w:rPr>
        <w:t>Site Web et médias sociaux</w:t>
      </w:r>
    </w:p>
    <w:p w14:paraId="4304130B" w14:textId="160FE687" w:rsidR="005D2B27" w:rsidRPr="0090237D" w:rsidRDefault="00CB229F" w:rsidP="00081B15">
      <w:pPr>
        <w:jc w:val="both"/>
        <w:rPr>
          <w:color w:val="3F251D"/>
        </w:rPr>
      </w:pPr>
      <w:r w:rsidRPr="0090237D">
        <w:rPr>
          <w:color w:val="3F251D"/>
        </w:rPr>
        <w:t>Le site Web du CANB a été mis à jour avec de nouveaux liens concernant le droit d’auteur au Canada.</w:t>
      </w:r>
      <w:r w:rsidR="0090237D" w:rsidRPr="0090237D">
        <w:rPr>
          <w:color w:val="3F251D"/>
        </w:rPr>
        <w:t xml:space="preserve"> </w:t>
      </w:r>
      <w:r w:rsidRPr="0090237D">
        <w:rPr>
          <w:color w:val="3F251D"/>
        </w:rPr>
        <w:t>Les comptes Facebook et Twitter ont été entretenus.</w:t>
      </w:r>
      <w:r w:rsidR="00BD551C" w:rsidRPr="0090237D">
        <w:rPr>
          <w:color w:val="3F251D"/>
        </w:rPr>
        <w:t xml:space="preserve"> </w:t>
      </w:r>
      <w:r w:rsidRPr="0090237D">
        <w:rPr>
          <w:color w:val="3F251D"/>
        </w:rPr>
        <w:t>Les deux comptes ont connu beaucoup d’interactions.</w:t>
      </w:r>
      <w:r w:rsidR="0090237D" w:rsidRPr="0090237D">
        <w:rPr>
          <w:color w:val="3F251D"/>
        </w:rPr>
        <w:t xml:space="preserve"> </w:t>
      </w:r>
    </w:p>
    <w:p w14:paraId="0E5B71C7" w14:textId="77777777" w:rsidR="005D2B27" w:rsidRPr="0090237D" w:rsidRDefault="005D2B27">
      <w:pPr>
        <w:rPr>
          <w:color w:val="3F251D"/>
        </w:rPr>
      </w:pPr>
      <w:r w:rsidRPr="0090237D">
        <w:rPr>
          <w:color w:val="3F251D"/>
        </w:rPr>
        <w:br w:type="page"/>
      </w:r>
    </w:p>
    <w:p w14:paraId="65289E88" w14:textId="6C4A5FED" w:rsidR="005F2BB6" w:rsidRPr="0090237D" w:rsidRDefault="00CB229F" w:rsidP="005F2BB6">
      <w:pPr>
        <w:pStyle w:val="Titre1"/>
        <w:rPr>
          <w:color w:val="auto"/>
        </w:rPr>
      </w:pPr>
      <w:bookmarkStart w:id="8" w:name="_Toc7683331"/>
      <w:r w:rsidRPr="0090237D">
        <w:rPr>
          <w:color w:val="auto"/>
        </w:rPr>
        <w:lastRenderedPageBreak/>
        <w:t>Rapport de la trésorière</w:t>
      </w:r>
      <w:bookmarkEnd w:id="8"/>
    </w:p>
    <w:p w14:paraId="6256ACEF" w14:textId="5E3AB4EF" w:rsidR="005F2BB6" w:rsidRPr="0090237D" w:rsidRDefault="00CB229F" w:rsidP="00E719EC">
      <w:pPr>
        <w:spacing w:before="0" w:after="0" w:line="240" w:lineRule="auto"/>
        <w:jc w:val="center"/>
        <w:rPr>
          <w:color w:val="auto"/>
        </w:rPr>
      </w:pPr>
      <w:r w:rsidRPr="0090237D">
        <w:rPr>
          <w:rFonts w:ascii="Times New Roman" w:hAnsi="Times New Roman"/>
          <w:b/>
          <w:color w:val="auto"/>
          <w:sz w:val="24"/>
          <w:szCs w:val="24"/>
        </w:rPr>
        <w:t>CONSEIL DES ARCHIVES DU NOUVEAU-BRUNSWICK</w:t>
      </w:r>
    </w:p>
    <w:p w14:paraId="32352B63" w14:textId="2CEF0E74" w:rsidR="005F2BB6" w:rsidRPr="0090237D" w:rsidRDefault="00CB229F" w:rsidP="00E719EC">
      <w:pPr>
        <w:spacing w:before="0" w:after="0" w:line="240" w:lineRule="auto"/>
        <w:jc w:val="center"/>
        <w:rPr>
          <w:color w:val="auto"/>
        </w:rPr>
      </w:pPr>
      <w:r w:rsidRPr="0090237D">
        <w:rPr>
          <w:rFonts w:ascii="Times New Roman" w:hAnsi="Times New Roman"/>
          <w:b/>
          <w:color w:val="auto"/>
          <w:sz w:val="24"/>
          <w:szCs w:val="24"/>
        </w:rPr>
        <w:t>ÉTATS FINANCIERS</w:t>
      </w:r>
    </w:p>
    <w:p w14:paraId="3CCE3148" w14:textId="4F4496BD" w:rsidR="005F2BB6" w:rsidRPr="0090237D" w:rsidRDefault="00CB229F" w:rsidP="00E719EC">
      <w:pPr>
        <w:spacing w:before="0" w:after="0" w:line="240" w:lineRule="auto"/>
        <w:jc w:val="center"/>
        <w:rPr>
          <w:color w:val="auto"/>
        </w:rPr>
      </w:pPr>
      <w:r w:rsidRPr="0090237D">
        <w:rPr>
          <w:rFonts w:ascii="Times New Roman" w:hAnsi="Times New Roman"/>
          <w:b/>
          <w:color w:val="auto"/>
          <w:sz w:val="24"/>
          <w:szCs w:val="24"/>
        </w:rPr>
        <w:t>POUR L’ANNÉE SE TERMINANT LE 31 MARS 2019</w:t>
      </w:r>
    </w:p>
    <w:p w14:paraId="4D457976" w14:textId="77777777" w:rsidR="00E719EC" w:rsidRPr="0090237D" w:rsidRDefault="00E719EC" w:rsidP="00E719EC">
      <w:pPr>
        <w:spacing w:before="0" w:after="0" w:line="240" w:lineRule="auto"/>
        <w:jc w:val="center"/>
        <w:rPr>
          <w:rFonts w:ascii="Times New Roman" w:eastAsia="Times New Roman" w:hAnsi="Times New Roman" w:cs="Times New Roman"/>
          <w:b/>
          <w:color w:val="auto"/>
          <w:sz w:val="24"/>
          <w:szCs w:val="24"/>
          <w:lang w:eastAsia="en-US"/>
        </w:rPr>
      </w:pPr>
    </w:p>
    <w:p w14:paraId="7D5189B1" w14:textId="1B82EE0A" w:rsidR="00AC6E6C" w:rsidRPr="0090237D" w:rsidRDefault="00CB229F" w:rsidP="00E719EC">
      <w:pPr>
        <w:spacing w:before="0" w:after="0" w:line="240" w:lineRule="auto"/>
        <w:jc w:val="center"/>
        <w:rPr>
          <w:color w:val="auto"/>
        </w:rPr>
      </w:pPr>
      <w:r w:rsidRPr="0090237D">
        <w:rPr>
          <w:rFonts w:ascii="Times New Roman" w:hAnsi="Times New Roman"/>
          <w:b/>
          <w:color w:val="auto"/>
          <w:sz w:val="24"/>
          <w:szCs w:val="24"/>
        </w:rPr>
        <w:t>Caisse populaire de Caraquet limitée</w:t>
      </w:r>
    </w:p>
    <w:p w14:paraId="3C1C45BC" w14:textId="77777777" w:rsidR="00E719EC" w:rsidRPr="0090237D" w:rsidRDefault="00E719EC" w:rsidP="00E719EC">
      <w:pPr>
        <w:spacing w:before="0" w:after="0" w:line="240" w:lineRule="auto"/>
        <w:jc w:val="center"/>
        <w:rPr>
          <w:rFonts w:ascii="Times New Roman" w:eastAsia="Times New Roman" w:hAnsi="Times New Roman" w:cs="Times New Roman"/>
          <w:b/>
          <w:color w:val="auto"/>
          <w:sz w:val="24"/>
          <w:szCs w:val="24"/>
          <w:lang w:eastAsia="en-US"/>
        </w:rPr>
      </w:pPr>
    </w:p>
    <w:p w14:paraId="23AC0FA5" w14:textId="25752ED4" w:rsidR="00AC6E6C" w:rsidRPr="0090237D" w:rsidRDefault="00CB229F" w:rsidP="00E719EC">
      <w:pPr>
        <w:spacing w:before="0" w:after="0" w:line="240" w:lineRule="auto"/>
        <w:rPr>
          <w:color w:val="auto"/>
        </w:rPr>
      </w:pPr>
      <w:r w:rsidRPr="0090237D">
        <w:rPr>
          <w:rFonts w:ascii="Times New Roman" w:hAnsi="Times New Roman"/>
          <w:b/>
          <w:color w:val="auto"/>
          <w:sz w:val="24"/>
          <w:szCs w:val="24"/>
        </w:rPr>
        <w:t>Dépôts à terme</w:t>
      </w:r>
    </w:p>
    <w:p w14:paraId="1AE0F852" w14:textId="77777777" w:rsidR="00E719EC" w:rsidRPr="0090237D" w:rsidRDefault="00E719EC" w:rsidP="00E719EC">
      <w:pPr>
        <w:spacing w:before="0" w:after="0" w:line="240" w:lineRule="auto"/>
        <w:rPr>
          <w:rFonts w:ascii="Times New Roman" w:eastAsia="Times New Roman" w:hAnsi="Times New Roman" w:cs="Times New Roman"/>
          <w:b/>
          <w:color w:val="auto"/>
          <w:sz w:val="24"/>
          <w:szCs w:val="24"/>
          <w:lang w:eastAsia="en-US"/>
        </w:rPr>
      </w:pPr>
    </w:p>
    <w:tbl>
      <w:tblPr>
        <w:tblStyle w:val="Grilledutableau"/>
        <w:tblW w:w="8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731"/>
        <w:gridCol w:w="815"/>
        <w:gridCol w:w="1165"/>
        <w:gridCol w:w="365"/>
      </w:tblGrid>
      <w:tr w:rsidR="00957FE8" w:rsidRPr="0090237D" w14:paraId="1982F1C4" w14:textId="77777777" w:rsidTr="00957FE8">
        <w:trPr>
          <w:gridAfter w:val="1"/>
          <w:wAfter w:w="365" w:type="dxa"/>
        </w:trPr>
        <w:tc>
          <w:tcPr>
            <w:tcW w:w="2790" w:type="dxa"/>
          </w:tcPr>
          <w:p w14:paraId="43A3314A" w14:textId="37BE9A8D" w:rsidR="000525FB" w:rsidRPr="0090237D" w:rsidRDefault="00CB229F" w:rsidP="00E719EC">
            <w:pPr>
              <w:rPr>
                <w:rFonts w:ascii="Times New Roman" w:eastAsia="Times New Roman" w:hAnsi="Times New Roman" w:cs="Times New Roman"/>
                <w:b/>
                <w:color w:val="auto"/>
                <w:sz w:val="24"/>
                <w:szCs w:val="24"/>
              </w:rPr>
            </w:pPr>
            <w:r w:rsidRPr="0090237D">
              <w:rPr>
                <w:rFonts w:ascii="Times New Roman" w:hAnsi="Times New Roman"/>
                <w:color w:val="auto"/>
                <w:sz w:val="24"/>
                <w:szCs w:val="24"/>
              </w:rPr>
              <w:t>Épargne à terme 1</w:t>
            </w:r>
            <w:r w:rsidRPr="0090237D">
              <w:rPr>
                <w:rFonts w:ascii="Times New Roman" w:hAnsi="Times New Roman"/>
                <w:color w:val="auto"/>
                <w:sz w:val="24"/>
                <w:szCs w:val="24"/>
              </w:rPr>
              <w:tab/>
              <w:t>1,500 %</w:t>
            </w:r>
          </w:p>
        </w:tc>
        <w:tc>
          <w:tcPr>
            <w:tcW w:w="3731" w:type="dxa"/>
          </w:tcPr>
          <w:p w14:paraId="66A6B301" w14:textId="083C7D49" w:rsidR="000525FB" w:rsidRPr="0090237D" w:rsidRDefault="00CB229F" w:rsidP="00E719EC">
            <w:pPr>
              <w:rPr>
                <w:rFonts w:ascii="Times New Roman" w:eastAsia="Times New Roman" w:hAnsi="Times New Roman" w:cs="Times New Roman"/>
                <w:b/>
                <w:color w:val="auto"/>
                <w:sz w:val="24"/>
                <w:szCs w:val="24"/>
              </w:rPr>
            </w:pPr>
            <w:r w:rsidRPr="0090237D">
              <w:rPr>
                <w:rFonts w:ascii="Times New Roman" w:hAnsi="Times New Roman"/>
                <w:color w:val="auto"/>
                <w:sz w:val="24"/>
                <w:szCs w:val="24"/>
              </w:rPr>
              <w:t xml:space="preserve">Date d’échéance : </w:t>
            </w:r>
            <w:r w:rsidRPr="0090237D">
              <w:rPr>
                <w:color w:val="auto"/>
              </w:rPr>
              <w:t>17 décembre 2021</w:t>
            </w:r>
          </w:p>
        </w:tc>
        <w:tc>
          <w:tcPr>
            <w:tcW w:w="1980" w:type="dxa"/>
            <w:gridSpan w:val="2"/>
          </w:tcPr>
          <w:p w14:paraId="242E2660" w14:textId="77777777" w:rsidR="000525FB" w:rsidRPr="0090237D" w:rsidRDefault="008D0676" w:rsidP="008D0676">
            <w:pPr>
              <w:jc w:val="right"/>
              <w:rPr>
                <w:rFonts w:ascii="Times New Roman" w:eastAsia="Times New Roman" w:hAnsi="Times New Roman" w:cs="Times New Roman"/>
                <w:b/>
                <w:color w:val="auto"/>
                <w:sz w:val="24"/>
                <w:szCs w:val="24"/>
              </w:rPr>
            </w:pPr>
            <w:r w:rsidRPr="0090237D">
              <w:rPr>
                <w:rFonts w:ascii="Times New Roman" w:hAnsi="Times New Roman"/>
                <w:color w:val="auto"/>
                <w:sz w:val="24"/>
                <w:szCs w:val="24"/>
              </w:rPr>
              <w:t>10 000,00 $</w:t>
            </w:r>
          </w:p>
        </w:tc>
      </w:tr>
      <w:tr w:rsidR="00957FE8" w:rsidRPr="0090237D" w14:paraId="68C78939" w14:textId="77777777" w:rsidTr="00957FE8">
        <w:trPr>
          <w:gridAfter w:val="1"/>
          <w:wAfter w:w="365" w:type="dxa"/>
        </w:trPr>
        <w:tc>
          <w:tcPr>
            <w:tcW w:w="2790" w:type="dxa"/>
          </w:tcPr>
          <w:p w14:paraId="4F81AB38" w14:textId="55752FB7" w:rsidR="000525FB" w:rsidRPr="0090237D" w:rsidRDefault="00CB229F" w:rsidP="00E719EC">
            <w:pPr>
              <w:rPr>
                <w:rFonts w:ascii="Times New Roman" w:eastAsia="Times New Roman" w:hAnsi="Times New Roman" w:cs="Times New Roman"/>
                <w:b/>
                <w:color w:val="auto"/>
                <w:sz w:val="24"/>
                <w:szCs w:val="24"/>
              </w:rPr>
            </w:pPr>
            <w:r w:rsidRPr="0090237D">
              <w:rPr>
                <w:rFonts w:ascii="Times New Roman" w:hAnsi="Times New Roman"/>
                <w:color w:val="auto"/>
                <w:sz w:val="24"/>
                <w:szCs w:val="24"/>
              </w:rPr>
              <w:t>Épargne à terme 2</w:t>
            </w:r>
            <w:r w:rsidRPr="0090237D">
              <w:rPr>
                <w:rFonts w:ascii="Times New Roman" w:hAnsi="Times New Roman"/>
                <w:color w:val="auto"/>
                <w:sz w:val="24"/>
                <w:szCs w:val="24"/>
              </w:rPr>
              <w:tab/>
              <w:t>1,400%</w:t>
            </w:r>
          </w:p>
        </w:tc>
        <w:tc>
          <w:tcPr>
            <w:tcW w:w="3731" w:type="dxa"/>
          </w:tcPr>
          <w:p w14:paraId="3C9253F8" w14:textId="401C0271" w:rsidR="000525FB" w:rsidRPr="0090237D" w:rsidRDefault="00CB229F" w:rsidP="00E719EC">
            <w:pPr>
              <w:rPr>
                <w:rFonts w:ascii="Times New Roman" w:eastAsia="Times New Roman" w:hAnsi="Times New Roman" w:cs="Times New Roman"/>
                <w:b/>
                <w:color w:val="auto"/>
                <w:sz w:val="24"/>
                <w:szCs w:val="24"/>
              </w:rPr>
            </w:pPr>
            <w:r w:rsidRPr="0090237D">
              <w:rPr>
                <w:rFonts w:ascii="Times New Roman" w:hAnsi="Times New Roman"/>
                <w:color w:val="auto"/>
                <w:sz w:val="24"/>
                <w:szCs w:val="24"/>
              </w:rPr>
              <w:t xml:space="preserve">Date d’échéance : </w:t>
            </w:r>
            <w:r w:rsidRPr="0090237D">
              <w:rPr>
                <w:color w:val="auto"/>
              </w:rPr>
              <w:t>5 février 2020</w:t>
            </w:r>
          </w:p>
        </w:tc>
        <w:tc>
          <w:tcPr>
            <w:tcW w:w="1980" w:type="dxa"/>
            <w:gridSpan w:val="2"/>
          </w:tcPr>
          <w:p w14:paraId="54AC15A7" w14:textId="77777777" w:rsidR="000525FB" w:rsidRPr="0090237D" w:rsidRDefault="008D0676" w:rsidP="008D0676">
            <w:pPr>
              <w:jc w:val="right"/>
              <w:rPr>
                <w:rFonts w:ascii="Times New Roman" w:eastAsia="Times New Roman" w:hAnsi="Times New Roman" w:cs="Times New Roman"/>
                <w:b/>
                <w:color w:val="auto"/>
                <w:sz w:val="24"/>
                <w:szCs w:val="24"/>
              </w:rPr>
            </w:pPr>
            <w:r w:rsidRPr="0090237D">
              <w:rPr>
                <w:rFonts w:ascii="Times New Roman" w:hAnsi="Times New Roman"/>
                <w:color w:val="auto"/>
                <w:sz w:val="24"/>
                <w:szCs w:val="24"/>
              </w:rPr>
              <w:t>8 380,00</w:t>
            </w:r>
          </w:p>
        </w:tc>
      </w:tr>
      <w:tr w:rsidR="00957FE8" w:rsidRPr="0090237D" w14:paraId="3C46FEEA" w14:textId="77777777" w:rsidTr="00957FE8">
        <w:trPr>
          <w:gridAfter w:val="1"/>
          <w:wAfter w:w="365" w:type="dxa"/>
        </w:trPr>
        <w:tc>
          <w:tcPr>
            <w:tcW w:w="2790" w:type="dxa"/>
          </w:tcPr>
          <w:p w14:paraId="49E83C94" w14:textId="308DE93A" w:rsidR="000525FB" w:rsidRPr="0090237D" w:rsidRDefault="00CB229F" w:rsidP="00E719EC">
            <w:pPr>
              <w:rPr>
                <w:rFonts w:ascii="Times New Roman" w:eastAsia="Times New Roman" w:hAnsi="Times New Roman" w:cs="Times New Roman"/>
                <w:b/>
                <w:color w:val="auto"/>
                <w:sz w:val="24"/>
                <w:szCs w:val="24"/>
              </w:rPr>
            </w:pPr>
            <w:r w:rsidRPr="0090237D">
              <w:rPr>
                <w:rFonts w:ascii="Times New Roman" w:hAnsi="Times New Roman"/>
                <w:color w:val="auto"/>
                <w:sz w:val="24"/>
                <w:szCs w:val="24"/>
              </w:rPr>
              <w:t>Épargne à terme 3</w:t>
            </w:r>
            <w:r w:rsidRPr="0090237D">
              <w:rPr>
                <w:rFonts w:ascii="Times New Roman" w:hAnsi="Times New Roman"/>
                <w:color w:val="auto"/>
                <w:sz w:val="24"/>
                <w:szCs w:val="24"/>
              </w:rPr>
              <w:tab/>
              <w:t>1,500 %</w:t>
            </w:r>
          </w:p>
        </w:tc>
        <w:tc>
          <w:tcPr>
            <w:tcW w:w="3731" w:type="dxa"/>
          </w:tcPr>
          <w:p w14:paraId="6D68D0AE" w14:textId="0CE485B3" w:rsidR="000525FB" w:rsidRPr="0090237D" w:rsidRDefault="00CB229F" w:rsidP="00E719EC">
            <w:pPr>
              <w:rPr>
                <w:rFonts w:ascii="Times New Roman" w:eastAsia="Times New Roman" w:hAnsi="Times New Roman" w:cs="Times New Roman"/>
                <w:b/>
                <w:color w:val="auto"/>
                <w:sz w:val="24"/>
                <w:szCs w:val="24"/>
              </w:rPr>
            </w:pPr>
            <w:r w:rsidRPr="0090237D">
              <w:rPr>
                <w:rFonts w:ascii="Times New Roman" w:hAnsi="Times New Roman"/>
                <w:color w:val="auto"/>
                <w:sz w:val="24"/>
                <w:szCs w:val="24"/>
              </w:rPr>
              <w:t xml:space="preserve">Date d’échéance : </w:t>
            </w:r>
            <w:r w:rsidRPr="0090237D">
              <w:rPr>
                <w:color w:val="auto"/>
              </w:rPr>
              <w:t>10 décembre 2020</w:t>
            </w:r>
          </w:p>
        </w:tc>
        <w:tc>
          <w:tcPr>
            <w:tcW w:w="1980" w:type="dxa"/>
            <w:gridSpan w:val="2"/>
          </w:tcPr>
          <w:p w14:paraId="691A9806" w14:textId="77777777" w:rsidR="000525FB" w:rsidRPr="0090237D" w:rsidRDefault="008D0676" w:rsidP="008D0676">
            <w:pPr>
              <w:jc w:val="right"/>
              <w:rPr>
                <w:rFonts w:ascii="Times New Roman" w:eastAsia="Times New Roman" w:hAnsi="Times New Roman" w:cs="Times New Roman"/>
                <w:b/>
                <w:color w:val="auto"/>
                <w:sz w:val="24"/>
                <w:szCs w:val="24"/>
              </w:rPr>
            </w:pPr>
            <w:r w:rsidRPr="0090237D">
              <w:rPr>
                <w:rFonts w:ascii="Times New Roman" w:hAnsi="Times New Roman"/>
                <w:color w:val="auto"/>
                <w:sz w:val="24"/>
                <w:szCs w:val="24"/>
              </w:rPr>
              <w:t>2 740,00</w:t>
            </w:r>
          </w:p>
        </w:tc>
      </w:tr>
      <w:tr w:rsidR="00957FE8" w:rsidRPr="0090237D" w14:paraId="40FC33BA" w14:textId="77777777" w:rsidTr="00957FE8">
        <w:trPr>
          <w:gridAfter w:val="1"/>
          <w:wAfter w:w="365" w:type="dxa"/>
        </w:trPr>
        <w:tc>
          <w:tcPr>
            <w:tcW w:w="2790" w:type="dxa"/>
          </w:tcPr>
          <w:p w14:paraId="0AAE1D98" w14:textId="62BD082C" w:rsidR="000525FB" w:rsidRPr="0090237D" w:rsidRDefault="00CB229F" w:rsidP="00E719EC">
            <w:pPr>
              <w:rPr>
                <w:rFonts w:ascii="Times New Roman" w:eastAsia="Times New Roman" w:hAnsi="Times New Roman" w:cs="Times New Roman"/>
                <w:b/>
                <w:color w:val="auto"/>
                <w:sz w:val="24"/>
                <w:szCs w:val="24"/>
              </w:rPr>
            </w:pPr>
            <w:r w:rsidRPr="0090237D">
              <w:rPr>
                <w:rFonts w:ascii="Times New Roman" w:hAnsi="Times New Roman"/>
                <w:color w:val="auto"/>
                <w:sz w:val="24"/>
                <w:szCs w:val="24"/>
              </w:rPr>
              <w:t>Épargne à terme 4</w:t>
            </w:r>
            <w:r w:rsidRPr="0090237D">
              <w:rPr>
                <w:rFonts w:ascii="Times New Roman" w:hAnsi="Times New Roman"/>
                <w:color w:val="auto"/>
                <w:sz w:val="24"/>
                <w:szCs w:val="24"/>
              </w:rPr>
              <w:tab/>
              <w:t>0,900%</w:t>
            </w:r>
          </w:p>
        </w:tc>
        <w:tc>
          <w:tcPr>
            <w:tcW w:w="3731" w:type="dxa"/>
          </w:tcPr>
          <w:p w14:paraId="54B207BD" w14:textId="5A6FBA16" w:rsidR="000525FB" w:rsidRPr="0090237D" w:rsidRDefault="00CB229F" w:rsidP="00E719EC">
            <w:pPr>
              <w:rPr>
                <w:rFonts w:ascii="Times New Roman" w:eastAsia="Times New Roman" w:hAnsi="Times New Roman" w:cs="Times New Roman"/>
                <w:b/>
                <w:color w:val="auto"/>
                <w:sz w:val="24"/>
                <w:szCs w:val="24"/>
                <w:lang w:val="en-CA"/>
              </w:rPr>
            </w:pPr>
            <w:r w:rsidRPr="0090237D">
              <w:rPr>
                <w:rFonts w:ascii="Times New Roman" w:hAnsi="Times New Roman"/>
                <w:color w:val="auto"/>
                <w:sz w:val="24"/>
                <w:szCs w:val="24"/>
                <w:lang w:val="en-CA"/>
              </w:rPr>
              <w:t>Date d’échéance : 10 mai 2019</w:t>
            </w:r>
          </w:p>
        </w:tc>
        <w:tc>
          <w:tcPr>
            <w:tcW w:w="1980" w:type="dxa"/>
            <w:gridSpan w:val="2"/>
          </w:tcPr>
          <w:p w14:paraId="4CDFCE5A" w14:textId="77777777" w:rsidR="000525FB" w:rsidRPr="0090237D" w:rsidRDefault="008D0676" w:rsidP="008D0676">
            <w:pPr>
              <w:jc w:val="right"/>
              <w:rPr>
                <w:rFonts w:ascii="Times New Roman" w:eastAsia="Times New Roman" w:hAnsi="Times New Roman" w:cs="Times New Roman"/>
                <w:b/>
                <w:color w:val="auto"/>
                <w:sz w:val="24"/>
                <w:szCs w:val="24"/>
              </w:rPr>
            </w:pPr>
            <w:r w:rsidRPr="0090237D">
              <w:rPr>
                <w:rFonts w:ascii="Times New Roman" w:hAnsi="Times New Roman"/>
                <w:color w:val="auto"/>
                <w:sz w:val="24"/>
                <w:szCs w:val="24"/>
              </w:rPr>
              <w:t>15 000,00</w:t>
            </w:r>
          </w:p>
        </w:tc>
      </w:tr>
      <w:tr w:rsidR="00957FE8" w:rsidRPr="0090237D" w14:paraId="4E108CF8" w14:textId="77777777" w:rsidTr="00957FE8">
        <w:trPr>
          <w:gridAfter w:val="1"/>
          <w:wAfter w:w="365" w:type="dxa"/>
        </w:trPr>
        <w:tc>
          <w:tcPr>
            <w:tcW w:w="2790" w:type="dxa"/>
          </w:tcPr>
          <w:p w14:paraId="26594907" w14:textId="17920958" w:rsidR="000525FB" w:rsidRPr="0090237D" w:rsidRDefault="00CB229F" w:rsidP="00E719EC">
            <w:pPr>
              <w:rPr>
                <w:rFonts w:ascii="Times New Roman" w:eastAsia="Times New Roman" w:hAnsi="Times New Roman" w:cs="Times New Roman"/>
                <w:b/>
                <w:color w:val="auto"/>
                <w:sz w:val="24"/>
                <w:szCs w:val="24"/>
              </w:rPr>
            </w:pPr>
            <w:r w:rsidRPr="0090237D">
              <w:rPr>
                <w:rFonts w:ascii="Times New Roman" w:hAnsi="Times New Roman"/>
                <w:color w:val="auto"/>
                <w:sz w:val="24"/>
                <w:szCs w:val="24"/>
              </w:rPr>
              <w:t>Épargne à terme 5</w:t>
            </w:r>
            <w:r w:rsidRPr="0090237D">
              <w:rPr>
                <w:rFonts w:ascii="Times New Roman" w:hAnsi="Times New Roman"/>
                <w:color w:val="auto"/>
                <w:sz w:val="24"/>
                <w:szCs w:val="24"/>
              </w:rPr>
              <w:tab/>
              <w:t>0,900%</w:t>
            </w:r>
          </w:p>
        </w:tc>
        <w:tc>
          <w:tcPr>
            <w:tcW w:w="3731" w:type="dxa"/>
          </w:tcPr>
          <w:p w14:paraId="4A535EF2" w14:textId="5736426A" w:rsidR="000525FB" w:rsidRPr="0090237D" w:rsidRDefault="00CB229F" w:rsidP="00E719EC">
            <w:pPr>
              <w:rPr>
                <w:rFonts w:ascii="Times New Roman" w:eastAsia="Times New Roman" w:hAnsi="Times New Roman" w:cs="Times New Roman"/>
                <w:b/>
                <w:color w:val="auto"/>
                <w:sz w:val="24"/>
                <w:szCs w:val="24"/>
                <w:lang w:val="en-CA"/>
              </w:rPr>
            </w:pPr>
            <w:r w:rsidRPr="0090237D">
              <w:rPr>
                <w:rFonts w:ascii="Times New Roman" w:hAnsi="Times New Roman"/>
                <w:color w:val="auto"/>
                <w:sz w:val="24"/>
                <w:szCs w:val="24"/>
                <w:lang w:val="en-CA"/>
              </w:rPr>
              <w:t xml:space="preserve">Date d’échéance : </w:t>
            </w:r>
            <w:r w:rsidRPr="0090237D">
              <w:rPr>
                <w:color w:val="auto"/>
                <w:lang w:val="en-CA"/>
              </w:rPr>
              <w:t>8 mai 2019</w:t>
            </w:r>
          </w:p>
        </w:tc>
        <w:tc>
          <w:tcPr>
            <w:tcW w:w="1980" w:type="dxa"/>
            <w:gridSpan w:val="2"/>
          </w:tcPr>
          <w:p w14:paraId="7B6E35BD" w14:textId="6B52DDA7" w:rsidR="000525FB" w:rsidRPr="0090237D" w:rsidRDefault="008D0676" w:rsidP="008D0676">
            <w:pPr>
              <w:jc w:val="right"/>
              <w:rPr>
                <w:rFonts w:ascii="Times New Roman" w:eastAsia="Times New Roman" w:hAnsi="Times New Roman" w:cs="Times New Roman"/>
                <w:b/>
                <w:color w:val="auto"/>
                <w:sz w:val="24"/>
                <w:szCs w:val="24"/>
              </w:rPr>
            </w:pPr>
            <w:r w:rsidRPr="0090237D">
              <w:rPr>
                <w:rFonts w:ascii="Times New Roman" w:hAnsi="Times New Roman"/>
                <w:color w:val="auto"/>
                <w:sz w:val="24"/>
                <w:szCs w:val="24"/>
              </w:rPr>
              <w:t>10</w:t>
            </w:r>
            <w:r w:rsidR="00BD551C" w:rsidRPr="0090237D">
              <w:rPr>
                <w:rFonts w:ascii="Times New Roman" w:hAnsi="Times New Roman"/>
                <w:color w:val="auto"/>
                <w:sz w:val="24"/>
                <w:szCs w:val="24"/>
              </w:rPr>
              <w:t> </w:t>
            </w:r>
            <w:r w:rsidRPr="0090237D">
              <w:rPr>
                <w:rFonts w:ascii="Times New Roman" w:hAnsi="Times New Roman"/>
                <w:color w:val="auto"/>
                <w:sz w:val="24"/>
                <w:szCs w:val="24"/>
              </w:rPr>
              <w:t>000,00</w:t>
            </w:r>
          </w:p>
        </w:tc>
      </w:tr>
      <w:tr w:rsidR="00957FE8" w:rsidRPr="0090237D" w14:paraId="4AFF9B1F" w14:textId="77777777" w:rsidTr="00957FE8">
        <w:trPr>
          <w:gridAfter w:val="1"/>
          <w:wAfter w:w="365" w:type="dxa"/>
        </w:trPr>
        <w:tc>
          <w:tcPr>
            <w:tcW w:w="2790" w:type="dxa"/>
          </w:tcPr>
          <w:p w14:paraId="6BFCE2ED" w14:textId="77777777" w:rsidR="00B60D73" w:rsidRPr="0090237D" w:rsidRDefault="00B60D73" w:rsidP="00E719EC">
            <w:pPr>
              <w:rPr>
                <w:rFonts w:ascii="Times New Roman" w:eastAsia="Times New Roman" w:hAnsi="Times New Roman" w:cs="Times New Roman"/>
                <w:color w:val="auto"/>
                <w:sz w:val="24"/>
                <w:szCs w:val="24"/>
                <w:lang w:eastAsia="en-US"/>
              </w:rPr>
            </w:pPr>
          </w:p>
        </w:tc>
        <w:tc>
          <w:tcPr>
            <w:tcW w:w="3731" w:type="dxa"/>
          </w:tcPr>
          <w:p w14:paraId="5F9AA052" w14:textId="77777777" w:rsidR="00B60D73" w:rsidRPr="0090237D" w:rsidRDefault="00B60D73" w:rsidP="00E719EC">
            <w:pPr>
              <w:rPr>
                <w:rFonts w:ascii="Times New Roman" w:eastAsia="Times New Roman" w:hAnsi="Times New Roman" w:cs="Times New Roman"/>
                <w:color w:val="auto"/>
                <w:sz w:val="24"/>
                <w:szCs w:val="24"/>
                <w:lang w:eastAsia="en-US"/>
              </w:rPr>
            </w:pPr>
          </w:p>
        </w:tc>
        <w:tc>
          <w:tcPr>
            <w:tcW w:w="1980" w:type="dxa"/>
            <w:gridSpan w:val="2"/>
          </w:tcPr>
          <w:p w14:paraId="4A055E4D" w14:textId="77777777" w:rsidR="00B60D73" w:rsidRPr="0090237D" w:rsidRDefault="00B60D73" w:rsidP="008D0676">
            <w:pPr>
              <w:jc w:val="right"/>
              <w:rPr>
                <w:rFonts w:ascii="Times New Roman" w:eastAsia="Times New Roman" w:hAnsi="Times New Roman" w:cs="Times New Roman"/>
                <w:color w:val="auto"/>
                <w:sz w:val="24"/>
                <w:szCs w:val="24"/>
                <w:lang w:eastAsia="en-US"/>
              </w:rPr>
            </w:pPr>
          </w:p>
        </w:tc>
      </w:tr>
      <w:tr w:rsidR="00957FE8" w:rsidRPr="0090237D" w14:paraId="4888D7C0" w14:textId="77777777" w:rsidTr="00957FE8">
        <w:tc>
          <w:tcPr>
            <w:tcW w:w="2790" w:type="dxa"/>
          </w:tcPr>
          <w:p w14:paraId="4AEEC45C" w14:textId="0E51EAEC" w:rsidR="00AC6E6C" w:rsidRPr="0090237D" w:rsidRDefault="00CB229F" w:rsidP="00B60D73">
            <w:pPr>
              <w:ind w:left="167"/>
              <w:rPr>
                <w:color w:val="auto"/>
              </w:rPr>
            </w:pPr>
            <w:r w:rsidRPr="0090237D">
              <w:rPr>
                <w:rFonts w:ascii="Times New Roman" w:hAnsi="Times New Roman"/>
                <w:b/>
                <w:color w:val="auto"/>
                <w:sz w:val="24"/>
                <w:szCs w:val="24"/>
              </w:rPr>
              <w:t>Solde</w:t>
            </w:r>
          </w:p>
        </w:tc>
        <w:tc>
          <w:tcPr>
            <w:tcW w:w="3731" w:type="dxa"/>
          </w:tcPr>
          <w:p w14:paraId="44EFDDEE" w14:textId="77777777" w:rsidR="00B60D73" w:rsidRPr="0090237D" w:rsidRDefault="00B60D73" w:rsidP="00E719EC">
            <w:pPr>
              <w:rPr>
                <w:rFonts w:ascii="Times New Roman" w:eastAsia="Times New Roman" w:hAnsi="Times New Roman" w:cs="Times New Roman"/>
                <w:color w:val="auto"/>
                <w:sz w:val="24"/>
                <w:szCs w:val="24"/>
                <w:lang w:eastAsia="en-US"/>
              </w:rPr>
            </w:pPr>
          </w:p>
        </w:tc>
        <w:tc>
          <w:tcPr>
            <w:tcW w:w="2340" w:type="dxa"/>
            <w:gridSpan w:val="3"/>
          </w:tcPr>
          <w:p w14:paraId="4121CB80" w14:textId="77777777" w:rsidR="00B60D73" w:rsidRPr="0090237D" w:rsidRDefault="00B60D73" w:rsidP="008D0676">
            <w:pPr>
              <w:jc w:val="right"/>
              <w:rPr>
                <w:rFonts w:ascii="Times New Roman" w:eastAsia="Times New Roman" w:hAnsi="Times New Roman" w:cs="Times New Roman"/>
                <w:color w:val="auto"/>
                <w:sz w:val="24"/>
                <w:szCs w:val="24"/>
              </w:rPr>
            </w:pPr>
            <w:r w:rsidRPr="0090237D">
              <w:rPr>
                <w:rFonts w:ascii="Times New Roman" w:hAnsi="Times New Roman"/>
                <w:b/>
                <w:color w:val="auto"/>
                <w:sz w:val="24"/>
                <w:szCs w:val="24"/>
              </w:rPr>
              <w:t>46 120,98 $</w:t>
            </w:r>
          </w:p>
        </w:tc>
      </w:tr>
      <w:tr w:rsidR="00957FE8" w:rsidRPr="0090237D" w14:paraId="4A2B4B89" w14:textId="77777777" w:rsidTr="00957FE8">
        <w:tc>
          <w:tcPr>
            <w:tcW w:w="2790" w:type="dxa"/>
          </w:tcPr>
          <w:p w14:paraId="44C9A9F4" w14:textId="77777777" w:rsidR="0001658A" w:rsidRPr="0090237D" w:rsidRDefault="0001658A" w:rsidP="00B60D73">
            <w:pPr>
              <w:ind w:left="167"/>
              <w:rPr>
                <w:rFonts w:ascii="Times New Roman" w:eastAsia="Times New Roman" w:hAnsi="Times New Roman" w:cs="Times New Roman"/>
                <w:b/>
                <w:color w:val="auto"/>
                <w:sz w:val="24"/>
                <w:szCs w:val="24"/>
                <w:lang w:eastAsia="en-US"/>
              </w:rPr>
            </w:pPr>
          </w:p>
        </w:tc>
        <w:tc>
          <w:tcPr>
            <w:tcW w:w="3731" w:type="dxa"/>
          </w:tcPr>
          <w:p w14:paraId="0789E13E" w14:textId="77777777" w:rsidR="0001658A" w:rsidRPr="0090237D" w:rsidRDefault="0001658A" w:rsidP="00E719EC">
            <w:pPr>
              <w:rPr>
                <w:rFonts w:ascii="Times New Roman" w:eastAsia="Times New Roman" w:hAnsi="Times New Roman" w:cs="Times New Roman"/>
                <w:color w:val="auto"/>
                <w:sz w:val="24"/>
                <w:szCs w:val="24"/>
                <w:lang w:eastAsia="en-US"/>
              </w:rPr>
            </w:pPr>
          </w:p>
        </w:tc>
        <w:tc>
          <w:tcPr>
            <w:tcW w:w="2340" w:type="dxa"/>
            <w:gridSpan w:val="3"/>
          </w:tcPr>
          <w:p w14:paraId="4F92B4B4" w14:textId="77777777" w:rsidR="0001658A" w:rsidRPr="0090237D" w:rsidRDefault="0001658A" w:rsidP="008D0676">
            <w:pPr>
              <w:jc w:val="right"/>
              <w:rPr>
                <w:rFonts w:ascii="Times New Roman" w:eastAsia="Times New Roman" w:hAnsi="Times New Roman" w:cs="Times New Roman"/>
                <w:b/>
                <w:color w:val="auto"/>
                <w:sz w:val="24"/>
                <w:szCs w:val="24"/>
                <w:lang w:eastAsia="en-US"/>
              </w:rPr>
            </w:pPr>
          </w:p>
        </w:tc>
      </w:tr>
      <w:tr w:rsidR="00957FE8" w:rsidRPr="0090237D" w14:paraId="21F91FDE" w14:textId="77777777" w:rsidTr="00957FE8">
        <w:tc>
          <w:tcPr>
            <w:tcW w:w="2790" w:type="dxa"/>
          </w:tcPr>
          <w:p w14:paraId="79FDA10E" w14:textId="77777777" w:rsidR="0001658A" w:rsidRPr="0090237D" w:rsidRDefault="0001658A" w:rsidP="00B60D73">
            <w:pPr>
              <w:ind w:left="167"/>
              <w:rPr>
                <w:rFonts w:ascii="Times New Roman" w:eastAsia="Times New Roman" w:hAnsi="Times New Roman" w:cs="Times New Roman"/>
                <w:b/>
                <w:color w:val="auto"/>
                <w:sz w:val="24"/>
                <w:szCs w:val="24"/>
                <w:lang w:eastAsia="en-US"/>
              </w:rPr>
            </w:pPr>
          </w:p>
        </w:tc>
        <w:tc>
          <w:tcPr>
            <w:tcW w:w="3731" w:type="dxa"/>
          </w:tcPr>
          <w:p w14:paraId="12189192" w14:textId="77777777" w:rsidR="0001658A" w:rsidRPr="0090237D" w:rsidRDefault="0001658A" w:rsidP="00E719EC">
            <w:pPr>
              <w:rPr>
                <w:rFonts w:ascii="Times New Roman" w:eastAsia="Times New Roman" w:hAnsi="Times New Roman" w:cs="Times New Roman"/>
                <w:color w:val="auto"/>
                <w:sz w:val="24"/>
                <w:szCs w:val="24"/>
                <w:lang w:eastAsia="en-US"/>
              </w:rPr>
            </w:pPr>
          </w:p>
        </w:tc>
        <w:tc>
          <w:tcPr>
            <w:tcW w:w="2340" w:type="dxa"/>
            <w:gridSpan w:val="3"/>
          </w:tcPr>
          <w:p w14:paraId="53954EB4" w14:textId="77777777" w:rsidR="0001658A" w:rsidRPr="0090237D" w:rsidRDefault="0001658A" w:rsidP="008D0676">
            <w:pPr>
              <w:jc w:val="right"/>
              <w:rPr>
                <w:rFonts w:ascii="Times New Roman" w:eastAsia="Times New Roman" w:hAnsi="Times New Roman" w:cs="Times New Roman"/>
                <w:b/>
                <w:color w:val="auto"/>
                <w:sz w:val="24"/>
                <w:szCs w:val="24"/>
                <w:lang w:eastAsia="en-US"/>
              </w:rPr>
            </w:pPr>
          </w:p>
        </w:tc>
      </w:tr>
      <w:tr w:rsidR="00957FE8" w:rsidRPr="0090237D" w14:paraId="4B9EF868" w14:textId="77777777" w:rsidTr="00957FE8">
        <w:tc>
          <w:tcPr>
            <w:tcW w:w="7336" w:type="dxa"/>
            <w:gridSpan w:val="3"/>
          </w:tcPr>
          <w:p w14:paraId="6D483E45" w14:textId="66E1F9A0" w:rsidR="0001658A" w:rsidRPr="0090237D" w:rsidRDefault="00CB229F" w:rsidP="0001658A">
            <w:pPr>
              <w:jc w:val="right"/>
              <w:rPr>
                <w:rFonts w:ascii="Times New Roman" w:eastAsia="Times New Roman" w:hAnsi="Times New Roman" w:cs="Times New Roman"/>
                <w:color w:val="auto"/>
                <w:sz w:val="24"/>
                <w:szCs w:val="24"/>
              </w:rPr>
            </w:pPr>
            <w:r w:rsidRPr="00957FE8">
              <w:rPr>
                <w:rFonts w:ascii="Times New Roman" w:hAnsi="Times New Roman"/>
                <w:b/>
                <w:color w:val="auto"/>
                <w:sz w:val="24"/>
                <w:szCs w:val="24"/>
              </w:rPr>
              <w:t>Compte CS</w:t>
            </w:r>
            <w:r w:rsidRPr="0090237D">
              <w:rPr>
                <w:rFonts w:ascii="Times New Roman" w:hAnsi="Times New Roman"/>
                <w:color w:val="auto"/>
                <w:sz w:val="24"/>
                <w:szCs w:val="24"/>
              </w:rPr>
              <w:t xml:space="preserve"> (gardé afin de rester adhérent)</w:t>
            </w:r>
          </w:p>
        </w:tc>
        <w:tc>
          <w:tcPr>
            <w:tcW w:w="1530" w:type="dxa"/>
            <w:gridSpan w:val="2"/>
          </w:tcPr>
          <w:p w14:paraId="0789C6DE" w14:textId="77777777" w:rsidR="0001658A" w:rsidRPr="0090237D" w:rsidRDefault="0001658A" w:rsidP="008D0676">
            <w:pPr>
              <w:jc w:val="right"/>
              <w:rPr>
                <w:rFonts w:ascii="Times New Roman" w:eastAsia="Times New Roman" w:hAnsi="Times New Roman" w:cs="Times New Roman"/>
                <w:b/>
                <w:color w:val="auto"/>
                <w:sz w:val="24"/>
                <w:szCs w:val="24"/>
              </w:rPr>
            </w:pPr>
            <w:r w:rsidRPr="0090237D">
              <w:rPr>
                <w:rFonts w:ascii="Times New Roman" w:hAnsi="Times New Roman"/>
                <w:b/>
                <w:color w:val="auto"/>
                <w:sz w:val="24"/>
                <w:szCs w:val="24"/>
              </w:rPr>
              <w:t>100,00 $</w:t>
            </w:r>
          </w:p>
        </w:tc>
      </w:tr>
    </w:tbl>
    <w:p w14:paraId="2CAC8BBE" w14:textId="77777777" w:rsidR="00E719EC" w:rsidRPr="0090237D" w:rsidRDefault="00E719EC" w:rsidP="00E719EC">
      <w:pPr>
        <w:spacing w:before="0" w:after="0" w:line="240" w:lineRule="auto"/>
        <w:jc w:val="right"/>
        <w:rPr>
          <w:rFonts w:ascii="Times New Roman" w:eastAsia="Times New Roman" w:hAnsi="Times New Roman" w:cs="Times New Roman"/>
          <w:b/>
          <w:color w:val="auto"/>
          <w:sz w:val="24"/>
          <w:szCs w:val="24"/>
          <w:lang w:eastAsia="en-US"/>
        </w:rPr>
      </w:pPr>
    </w:p>
    <w:p w14:paraId="7279C951" w14:textId="77777777" w:rsidR="00E719EC" w:rsidRPr="0090237D" w:rsidRDefault="00E719EC" w:rsidP="00E719EC">
      <w:pPr>
        <w:spacing w:before="0" w:after="0" w:line="240" w:lineRule="auto"/>
        <w:rPr>
          <w:rFonts w:ascii="Times New Roman" w:eastAsia="Times New Roman" w:hAnsi="Times New Roman" w:cs="Times New Roman"/>
          <w:b/>
          <w:color w:val="auto"/>
          <w:sz w:val="24"/>
          <w:szCs w:val="24"/>
        </w:rPr>
      </w:pPr>
      <w:r w:rsidRPr="0090237D">
        <w:rPr>
          <w:color w:val="auto"/>
        </w:rPr>
        <w:br w:type="page"/>
      </w:r>
    </w:p>
    <w:p w14:paraId="452D2BB3" w14:textId="6E2F56C8" w:rsidR="00E719EC" w:rsidRPr="0090237D" w:rsidRDefault="00CB229F" w:rsidP="00E719EC">
      <w:pPr>
        <w:spacing w:before="0" w:after="0" w:line="240" w:lineRule="auto"/>
        <w:jc w:val="center"/>
        <w:rPr>
          <w:rFonts w:ascii="Times New Roman" w:eastAsia="Times New Roman" w:hAnsi="Times New Roman" w:cs="Times New Roman"/>
          <w:b/>
          <w:color w:val="auto"/>
          <w:sz w:val="24"/>
          <w:szCs w:val="24"/>
        </w:rPr>
      </w:pPr>
      <w:r w:rsidRPr="0090237D">
        <w:rPr>
          <w:rFonts w:ascii="Times New Roman" w:hAnsi="Times New Roman"/>
          <w:b/>
          <w:color w:val="auto"/>
          <w:sz w:val="24"/>
          <w:szCs w:val="24"/>
        </w:rPr>
        <w:lastRenderedPageBreak/>
        <w:t>Caisse populaire de Caraquet limitée</w:t>
      </w:r>
    </w:p>
    <w:p w14:paraId="70F254DB" w14:textId="05E09AEB" w:rsidR="00E719EC" w:rsidRPr="0090237D" w:rsidRDefault="00CB229F" w:rsidP="00E719EC">
      <w:pPr>
        <w:spacing w:before="0" w:after="0" w:line="240" w:lineRule="auto"/>
        <w:jc w:val="center"/>
        <w:rPr>
          <w:rFonts w:ascii="Times New Roman" w:eastAsia="Times New Roman" w:hAnsi="Times New Roman" w:cs="Times New Roman"/>
          <w:b/>
          <w:color w:val="auto"/>
          <w:sz w:val="24"/>
          <w:szCs w:val="24"/>
        </w:rPr>
      </w:pPr>
      <w:r w:rsidRPr="0090237D">
        <w:rPr>
          <w:rFonts w:ascii="Times New Roman" w:hAnsi="Times New Roman"/>
          <w:b/>
          <w:color w:val="auto"/>
          <w:sz w:val="24"/>
          <w:szCs w:val="24"/>
        </w:rPr>
        <w:t>Du 1</w:t>
      </w:r>
      <w:r w:rsidRPr="0090237D">
        <w:rPr>
          <w:rFonts w:ascii="Times New Roman" w:hAnsi="Times New Roman"/>
          <w:b/>
          <w:color w:val="auto"/>
          <w:sz w:val="24"/>
          <w:szCs w:val="24"/>
          <w:vertAlign w:val="superscript"/>
        </w:rPr>
        <w:t>er</w:t>
      </w:r>
      <w:r w:rsidRPr="0090237D">
        <w:rPr>
          <w:rFonts w:ascii="Times New Roman" w:hAnsi="Times New Roman"/>
          <w:b/>
          <w:color w:val="auto"/>
          <w:sz w:val="24"/>
          <w:szCs w:val="24"/>
        </w:rPr>
        <w:t> avril2018 au 31 mars 2019</w:t>
      </w:r>
    </w:p>
    <w:p w14:paraId="1BAE45CE" w14:textId="77777777" w:rsidR="00E719EC" w:rsidRPr="0090237D" w:rsidRDefault="00E719EC" w:rsidP="00E719EC">
      <w:pPr>
        <w:spacing w:before="0" w:after="0" w:line="240" w:lineRule="auto"/>
        <w:jc w:val="center"/>
        <w:rPr>
          <w:rFonts w:ascii="Times New Roman" w:eastAsia="Times New Roman" w:hAnsi="Times New Roman" w:cs="Times New Roman"/>
          <w:b/>
          <w:color w:val="auto"/>
          <w:sz w:val="24"/>
          <w:szCs w:val="24"/>
          <w:lang w:eastAsia="en-US"/>
        </w:rPr>
      </w:pPr>
    </w:p>
    <w:p w14:paraId="07B8A736" w14:textId="77777777" w:rsidR="00761639" w:rsidRPr="0090237D" w:rsidRDefault="00761639" w:rsidP="00E719EC">
      <w:pPr>
        <w:spacing w:before="0" w:after="0" w:line="240" w:lineRule="auto"/>
        <w:jc w:val="center"/>
        <w:rPr>
          <w:rFonts w:ascii="Times New Roman" w:eastAsia="Times New Roman" w:hAnsi="Times New Roman" w:cs="Times New Roman"/>
          <w:b/>
          <w:color w:val="auto"/>
          <w:sz w:val="24"/>
          <w:szCs w:val="24"/>
          <w:lang w:eastAsia="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1655"/>
        <w:gridCol w:w="95"/>
        <w:gridCol w:w="1900"/>
        <w:gridCol w:w="1433"/>
        <w:gridCol w:w="731"/>
      </w:tblGrid>
      <w:tr w:rsidR="00761639" w:rsidRPr="0090237D" w14:paraId="205F7D34" w14:textId="77777777" w:rsidTr="008818FD">
        <w:tc>
          <w:tcPr>
            <w:tcW w:w="2970" w:type="dxa"/>
          </w:tcPr>
          <w:p w14:paraId="51F37F02" w14:textId="05176C31" w:rsidR="00761639" w:rsidRPr="0090237D" w:rsidRDefault="00CB229F" w:rsidP="00C962CC">
            <w:pPr>
              <w:rPr>
                <w:rFonts w:ascii="Times New Roman" w:eastAsia="Times New Roman" w:hAnsi="Times New Roman" w:cs="Times New Roman"/>
                <w:b/>
                <w:color w:val="auto"/>
                <w:sz w:val="24"/>
                <w:szCs w:val="24"/>
              </w:rPr>
            </w:pPr>
            <w:r w:rsidRPr="0090237D">
              <w:rPr>
                <w:rFonts w:ascii="Times New Roman" w:hAnsi="Times New Roman"/>
                <w:b/>
                <w:color w:val="auto"/>
                <w:sz w:val="24"/>
                <w:szCs w:val="24"/>
              </w:rPr>
              <w:t>Compte d'épargne avec opérations (compte chèques)</w:t>
            </w:r>
          </w:p>
        </w:tc>
        <w:tc>
          <w:tcPr>
            <w:tcW w:w="1344" w:type="dxa"/>
          </w:tcPr>
          <w:p w14:paraId="055C5901" w14:textId="77777777" w:rsidR="00761639" w:rsidRPr="0090237D" w:rsidRDefault="00761639" w:rsidP="00C962CC">
            <w:pPr>
              <w:rPr>
                <w:rFonts w:ascii="Times New Roman" w:eastAsia="Times New Roman" w:hAnsi="Times New Roman" w:cs="Times New Roman"/>
                <w:b/>
                <w:color w:val="auto"/>
                <w:sz w:val="24"/>
                <w:szCs w:val="24"/>
                <w:lang w:eastAsia="en-US"/>
              </w:rPr>
            </w:pPr>
          </w:p>
        </w:tc>
        <w:tc>
          <w:tcPr>
            <w:tcW w:w="2076" w:type="dxa"/>
            <w:gridSpan w:val="2"/>
          </w:tcPr>
          <w:p w14:paraId="42CF36B5" w14:textId="77777777" w:rsidR="00761639" w:rsidRPr="0090237D" w:rsidRDefault="00761639" w:rsidP="00C962CC">
            <w:pPr>
              <w:rPr>
                <w:rFonts w:ascii="Times New Roman" w:eastAsia="Times New Roman" w:hAnsi="Times New Roman" w:cs="Times New Roman"/>
                <w:b/>
                <w:color w:val="auto"/>
                <w:sz w:val="24"/>
                <w:szCs w:val="24"/>
                <w:lang w:eastAsia="en-US"/>
              </w:rPr>
            </w:pPr>
          </w:p>
        </w:tc>
        <w:tc>
          <w:tcPr>
            <w:tcW w:w="2240" w:type="dxa"/>
            <w:gridSpan w:val="2"/>
          </w:tcPr>
          <w:p w14:paraId="22729233" w14:textId="77777777" w:rsidR="00761639" w:rsidRPr="0090237D" w:rsidRDefault="00761639" w:rsidP="00C962CC">
            <w:pPr>
              <w:rPr>
                <w:rFonts w:ascii="Times New Roman" w:eastAsia="Times New Roman" w:hAnsi="Times New Roman" w:cs="Times New Roman"/>
                <w:b/>
                <w:color w:val="auto"/>
                <w:sz w:val="24"/>
                <w:szCs w:val="24"/>
                <w:lang w:eastAsia="en-US"/>
              </w:rPr>
            </w:pPr>
          </w:p>
        </w:tc>
      </w:tr>
      <w:tr w:rsidR="00761639" w:rsidRPr="0090237D" w14:paraId="68514B1E" w14:textId="77777777" w:rsidTr="008818FD">
        <w:tc>
          <w:tcPr>
            <w:tcW w:w="2970" w:type="dxa"/>
          </w:tcPr>
          <w:p w14:paraId="0A530318" w14:textId="77777777" w:rsidR="00761639" w:rsidRPr="0090237D" w:rsidRDefault="00761639" w:rsidP="00C962CC">
            <w:pPr>
              <w:rPr>
                <w:rFonts w:ascii="Times New Roman" w:eastAsia="Times New Roman" w:hAnsi="Times New Roman" w:cs="Times New Roman"/>
                <w:b/>
                <w:color w:val="auto"/>
                <w:sz w:val="24"/>
                <w:szCs w:val="24"/>
                <w:lang w:eastAsia="en-US"/>
              </w:rPr>
            </w:pPr>
          </w:p>
        </w:tc>
        <w:tc>
          <w:tcPr>
            <w:tcW w:w="1344" w:type="dxa"/>
          </w:tcPr>
          <w:p w14:paraId="2DAA62F9" w14:textId="77777777" w:rsidR="00761639" w:rsidRPr="0090237D" w:rsidRDefault="00761639" w:rsidP="00C962CC">
            <w:pPr>
              <w:rPr>
                <w:rFonts w:ascii="Times New Roman" w:eastAsia="Times New Roman" w:hAnsi="Times New Roman" w:cs="Times New Roman"/>
                <w:b/>
                <w:color w:val="auto"/>
                <w:sz w:val="24"/>
                <w:szCs w:val="24"/>
                <w:lang w:eastAsia="en-US"/>
              </w:rPr>
            </w:pPr>
          </w:p>
        </w:tc>
        <w:tc>
          <w:tcPr>
            <w:tcW w:w="2076" w:type="dxa"/>
            <w:gridSpan w:val="2"/>
          </w:tcPr>
          <w:p w14:paraId="7CA3A738" w14:textId="77777777" w:rsidR="00761639" w:rsidRPr="0090237D" w:rsidRDefault="00761639" w:rsidP="00C962CC">
            <w:pPr>
              <w:rPr>
                <w:rFonts w:ascii="Times New Roman" w:eastAsia="Times New Roman" w:hAnsi="Times New Roman" w:cs="Times New Roman"/>
                <w:b/>
                <w:color w:val="auto"/>
                <w:sz w:val="24"/>
                <w:szCs w:val="24"/>
                <w:lang w:eastAsia="en-US"/>
              </w:rPr>
            </w:pPr>
          </w:p>
        </w:tc>
        <w:tc>
          <w:tcPr>
            <w:tcW w:w="2240" w:type="dxa"/>
            <w:gridSpan w:val="2"/>
          </w:tcPr>
          <w:p w14:paraId="2D531B76" w14:textId="77777777" w:rsidR="00761639" w:rsidRPr="0090237D" w:rsidRDefault="00761639" w:rsidP="00C962CC">
            <w:pPr>
              <w:rPr>
                <w:rFonts w:ascii="Times New Roman" w:eastAsia="Times New Roman" w:hAnsi="Times New Roman" w:cs="Times New Roman"/>
                <w:b/>
                <w:color w:val="auto"/>
                <w:sz w:val="24"/>
                <w:szCs w:val="24"/>
                <w:lang w:eastAsia="en-US"/>
              </w:rPr>
            </w:pPr>
          </w:p>
        </w:tc>
      </w:tr>
      <w:tr w:rsidR="00761639" w:rsidRPr="0090237D" w14:paraId="0863B813" w14:textId="77777777" w:rsidTr="0058340D">
        <w:tc>
          <w:tcPr>
            <w:tcW w:w="6390" w:type="dxa"/>
            <w:gridSpan w:val="4"/>
          </w:tcPr>
          <w:p w14:paraId="11BBA228" w14:textId="233A8DC7" w:rsidR="00AC6E6C" w:rsidRPr="0090237D" w:rsidRDefault="00CB229F" w:rsidP="00C962CC">
            <w:pPr>
              <w:rPr>
                <w:color w:val="auto"/>
              </w:rPr>
            </w:pPr>
            <w:r w:rsidRPr="0090237D">
              <w:rPr>
                <w:rFonts w:ascii="Times New Roman" w:hAnsi="Times New Roman"/>
                <w:color w:val="auto"/>
                <w:sz w:val="24"/>
                <w:szCs w:val="24"/>
              </w:rPr>
              <w:t>Solde d'ouverture</w:t>
            </w:r>
          </w:p>
        </w:tc>
        <w:tc>
          <w:tcPr>
            <w:tcW w:w="2240" w:type="dxa"/>
            <w:gridSpan w:val="2"/>
          </w:tcPr>
          <w:p w14:paraId="66488D5B" w14:textId="77777777" w:rsidR="00761639" w:rsidRPr="0090237D" w:rsidRDefault="00761639" w:rsidP="00C962CC">
            <w:pPr>
              <w:rPr>
                <w:rFonts w:ascii="Times New Roman" w:eastAsia="Times New Roman" w:hAnsi="Times New Roman" w:cs="Times New Roman"/>
                <w:b/>
                <w:color w:val="auto"/>
                <w:sz w:val="24"/>
                <w:szCs w:val="24"/>
              </w:rPr>
            </w:pPr>
            <w:r w:rsidRPr="0090237D">
              <w:rPr>
                <w:rFonts w:ascii="Times New Roman" w:hAnsi="Times New Roman"/>
                <w:color w:val="auto"/>
                <w:sz w:val="24"/>
                <w:szCs w:val="24"/>
              </w:rPr>
              <w:t>-12,45</w:t>
            </w:r>
          </w:p>
        </w:tc>
      </w:tr>
      <w:tr w:rsidR="00761639" w:rsidRPr="0090237D" w14:paraId="73B6AB26" w14:textId="77777777" w:rsidTr="008818FD">
        <w:tc>
          <w:tcPr>
            <w:tcW w:w="2970" w:type="dxa"/>
          </w:tcPr>
          <w:p w14:paraId="74996679" w14:textId="77777777" w:rsidR="00761639" w:rsidRPr="0090237D" w:rsidRDefault="00761639" w:rsidP="00C962CC">
            <w:pPr>
              <w:rPr>
                <w:rFonts w:ascii="Times New Roman" w:eastAsia="Times New Roman" w:hAnsi="Times New Roman" w:cs="Times New Roman"/>
                <w:b/>
                <w:color w:val="auto"/>
                <w:sz w:val="24"/>
                <w:szCs w:val="24"/>
                <w:lang w:eastAsia="en-US"/>
              </w:rPr>
            </w:pPr>
          </w:p>
        </w:tc>
        <w:tc>
          <w:tcPr>
            <w:tcW w:w="1344" w:type="dxa"/>
          </w:tcPr>
          <w:p w14:paraId="3BFD2B4A" w14:textId="77777777" w:rsidR="00761639" w:rsidRPr="0090237D" w:rsidRDefault="00761639" w:rsidP="00C962CC">
            <w:pPr>
              <w:rPr>
                <w:rFonts w:ascii="Times New Roman" w:eastAsia="Times New Roman" w:hAnsi="Times New Roman" w:cs="Times New Roman"/>
                <w:b/>
                <w:color w:val="auto"/>
                <w:sz w:val="24"/>
                <w:szCs w:val="24"/>
                <w:lang w:eastAsia="en-US"/>
              </w:rPr>
            </w:pPr>
          </w:p>
        </w:tc>
        <w:tc>
          <w:tcPr>
            <w:tcW w:w="2076" w:type="dxa"/>
            <w:gridSpan w:val="2"/>
          </w:tcPr>
          <w:p w14:paraId="7A728F1F" w14:textId="77777777" w:rsidR="00761639" w:rsidRPr="0090237D" w:rsidRDefault="00761639" w:rsidP="00C962CC">
            <w:pPr>
              <w:rPr>
                <w:rFonts w:ascii="Times New Roman" w:eastAsia="Times New Roman" w:hAnsi="Times New Roman" w:cs="Times New Roman"/>
                <w:b/>
                <w:color w:val="auto"/>
                <w:sz w:val="24"/>
                <w:szCs w:val="24"/>
                <w:lang w:eastAsia="en-US"/>
              </w:rPr>
            </w:pPr>
          </w:p>
        </w:tc>
        <w:tc>
          <w:tcPr>
            <w:tcW w:w="2240" w:type="dxa"/>
            <w:gridSpan w:val="2"/>
          </w:tcPr>
          <w:p w14:paraId="17E97EEB" w14:textId="77777777" w:rsidR="00761639" w:rsidRPr="0090237D" w:rsidRDefault="00761639" w:rsidP="00C962CC">
            <w:pPr>
              <w:rPr>
                <w:rFonts w:ascii="Times New Roman" w:eastAsia="Times New Roman" w:hAnsi="Times New Roman" w:cs="Times New Roman"/>
                <w:b/>
                <w:color w:val="auto"/>
                <w:sz w:val="24"/>
                <w:szCs w:val="24"/>
                <w:lang w:eastAsia="en-US"/>
              </w:rPr>
            </w:pPr>
          </w:p>
        </w:tc>
      </w:tr>
      <w:tr w:rsidR="00761639" w:rsidRPr="0090237D" w14:paraId="7C17E46A" w14:textId="77777777" w:rsidTr="008818FD">
        <w:tc>
          <w:tcPr>
            <w:tcW w:w="2970" w:type="dxa"/>
          </w:tcPr>
          <w:p w14:paraId="41D0D055" w14:textId="644482C1" w:rsidR="00AC6E6C" w:rsidRPr="0090237D" w:rsidRDefault="00CB229F" w:rsidP="00C962CC">
            <w:pPr>
              <w:rPr>
                <w:color w:val="auto"/>
              </w:rPr>
            </w:pPr>
            <w:r w:rsidRPr="0090237D">
              <w:rPr>
                <w:rFonts w:ascii="Times New Roman" w:hAnsi="Times New Roman"/>
                <w:b/>
                <w:color w:val="auto"/>
                <w:sz w:val="24"/>
                <w:szCs w:val="24"/>
              </w:rPr>
              <w:t>Actifs</w:t>
            </w:r>
          </w:p>
        </w:tc>
        <w:tc>
          <w:tcPr>
            <w:tcW w:w="1344" w:type="dxa"/>
          </w:tcPr>
          <w:p w14:paraId="02D52CB7" w14:textId="77777777" w:rsidR="00761639" w:rsidRPr="0090237D" w:rsidRDefault="00761639" w:rsidP="00C962CC">
            <w:pPr>
              <w:rPr>
                <w:rFonts w:ascii="Times New Roman" w:eastAsia="Times New Roman" w:hAnsi="Times New Roman" w:cs="Times New Roman"/>
                <w:b/>
                <w:color w:val="auto"/>
                <w:sz w:val="24"/>
                <w:szCs w:val="24"/>
                <w:lang w:eastAsia="en-US"/>
              </w:rPr>
            </w:pPr>
          </w:p>
        </w:tc>
        <w:tc>
          <w:tcPr>
            <w:tcW w:w="2076" w:type="dxa"/>
            <w:gridSpan w:val="2"/>
          </w:tcPr>
          <w:p w14:paraId="4721282B" w14:textId="77777777" w:rsidR="00761639" w:rsidRPr="0090237D" w:rsidRDefault="00761639" w:rsidP="00C962CC">
            <w:pPr>
              <w:rPr>
                <w:rFonts w:ascii="Times New Roman" w:eastAsia="Times New Roman" w:hAnsi="Times New Roman" w:cs="Times New Roman"/>
                <w:b/>
                <w:color w:val="auto"/>
                <w:sz w:val="24"/>
                <w:szCs w:val="24"/>
                <w:lang w:eastAsia="en-US"/>
              </w:rPr>
            </w:pPr>
          </w:p>
        </w:tc>
        <w:tc>
          <w:tcPr>
            <w:tcW w:w="2240" w:type="dxa"/>
            <w:gridSpan w:val="2"/>
          </w:tcPr>
          <w:p w14:paraId="5E0EE299" w14:textId="77777777" w:rsidR="00761639" w:rsidRPr="0090237D" w:rsidRDefault="00761639" w:rsidP="00C962CC">
            <w:pPr>
              <w:rPr>
                <w:rFonts w:ascii="Times New Roman" w:eastAsia="Times New Roman" w:hAnsi="Times New Roman" w:cs="Times New Roman"/>
                <w:b/>
                <w:color w:val="auto"/>
                <w:sz w:val="24"/>
                <w:szCs w:val="24"/>
                <w:lang w:eastAsia="en-US"/>
              </w:rPr>
            </w:pPr>
          </w:p>
        </w:tc>
      </w:tr>
      <w:tr w:rsidR="009F7D2C" w:rsidRPr="0090237D" w14:paraId="4AB74A90" w14:textId="77777777" w:rsidTr="009F7D2C">
        <w:trPr>
          <w:trHeight w:val="306"/>
        </w:trPr>
        <w:tc>
          <w:tcPr>
            <w:tcW w:w="6390" w:type="dxa"/>
            <w:gridSpan w:val="4"/>
          </w:tcPr>
          <w:p w14:paraId="3BA2B8BC" w14:textId="2A43E87E" w:rsidR="009F7D2C" w:rsidRPr="0090237D" w:rsidRDefault="00CB229F" w:rsidP="009F7D2C">
            <w:pPr>
              <w:rPr>
                <w:rFonts w:ascii="Times New Roman" w:eastAsia="Times New Roman" w:hAnsi="Times New Roman" w:cs="Times New Roman"/>
                <w:b/>
                <w:color w:val="auto"/>
                <w:sz w:val="24"/>
                <w:szCs w:val="24"/>
              </w:rPr>
            </w:pPr>
            <w:r w:rsidRPr="0090237D">
              <w:rPr>
                <w:rFonts w:ascii="Times New Roman" w:hAnsi="Times New Roman"/>
                <w:color w:val="auto"/>
                <w:sz w:val="24"/>
                <w:szCs w:val="24"/>
              </w:rPr>
              <w:t xml:space="preserve">Argent transféré depuis le Compte ES pour couvrir les frais liés aux chèques </w:t>
            </w:r>
          </w:p>
        </w:tc>
        <w:tc>
          <w:tcPr>
            <w:tcW w:w="2240" w:type="dxa"/>
            <w:gridSpan w:val="2"/>
          </w:tcPr>
          <w:p w14:paraId="6C95D272" w14:textId="77777777" w:rsidR="009F7D2C" w:rsidRPr="0090237D" w:rsidRDefault="009F7D2C" w:rsidP="00C962CC">
            <w:pPr>
              <w:rPr>
                <w:rFonts w:ascii="Times New Roman" w:eastAsia="Times New Roman" w:hAnsi="Times New Roman" w:cs="Times New Roman"/>
                <w:b/>
                <w:color w:val="auto"/>
                <w:sz w:val="24"/>
                <w:szCs w:val="24"/>
              </w:rPr>
            </w:pPr>
            <w:r w:rsidRPr="0090237D">
              <w:rPr>
                <w:rFonts w:ascii="Times New Roman" w:hAnsi="Times New Roman"/>
                <w:color w:val="auto"/>
                <w:sz w:val="24"/>
                <w:szCs w:val="24"/>
              </w:rPr>
              <w:t>172,50</w:t>
            </w:r>
          </w:p>
        </w:tc>
      </w:tr>
      <w:tr w:rsidR="009F7D2C" w:rsidRPr="0090237D" w14:paraId="404A9416" w14:textId="77777777" w:rsidTr="008818FD">
        <w:tc>
          <w:tcPr>
            <w:tcW w:w="2970" w:type="dxa"/>
          </w:tcPr>
          <w:p w14:paraId="74B4468F" w14:textId="77777777" w:rsidR="009F7D2C" w:rsidRPr="0090237D" w:rsidRDefault="009F7D2C" w:rsidP="00C962CC">
            <w:pPr>
              <w:rPr>
                <w:rFonts w:ascii="Times New Roman" w:eastAsia="Times New Roman" w:hAnsi="Times New Roman" w:cs="Times New Roman"/>
                <w:b/>
                <w:color w:val="auto"/>
                <w:sz w:val="24"/>
                <w:szCs w:val="24"/>
                <w:lang w:eastAsia="en-US"/>
              </w:rPr>
            </w:pPr>
          </w:p>
        </w:tc>
        <w:tc>
          <w:tcPr>
            <w:tcW w:w="1344" w:type="dxa"/>
          </w:tcPr>
          <w:p w14:paraId="4303CA65" w14:textId="77777777" w:rsidR="009F7D2C" w:rsidRPr="0090237D" w:rsidRDefault="009F7D2C" w:rsidP="00C962CC">
            <w:pPr>
              <w:rPr>
                <w:rFonts w:ascii="Times New Roman" w:eastAsia="Times New Roman" w:hAnsi="Times New Roman" w:cs="Times New Roman"/>
                <w:b/>
                <w:color w:val="auto"/>
                <w:sz w:val="24"/>
                <w:szCs w:val="24"/>
                <w:lang w:eastAsia="en-US"/>
              </w:rPr>
            </w:pPr>
          </w:p>
        </w:tc>
        <w:tc>
          <w:tcPr>
            <w:tcW w:w="2076" w:type="dxa"/>
            <w:gridSpan w:val="2"/>
          </w:tcPr>
          <w:p w14:paraId="037854A5" w14:textId="77777777" w:rsidR="009F7D2C" w:rsidRPr="0090237D" w:rsidRDefault="009F7D2C" w:rsidP="00C962CC">
            <w:pPr>
              <w:rPr>
                <w:rFonts w:ascii="Times New Roman" w:eastAsia="Times New Roman" w:hAnsi="Times New Roman" w:cs="Times New Roman"/>
                <w:b/>
                <w:color w:val="auto"/>
                <w:sz w:val="24"/>
                <w:szCs w:val="24"/>
                <w:lang w:eastAsia="en-US"/>
              </w:rPr>
            </w:pPr>
          </w:p>
        </w:tc>
        <w:tc>
          <w:tcPr>
            <w:tcW w:w="2240" w:type="dxa"/>
            <w:gridSpan w:val="2"/>
          </w:tcPr>
          <w:p w14:paraId="3A53EA26" w14:textId="77777777" w:rsidR="009F7D2C" w:rsidRPr="0090237D" w:rsidRDefault="009F7D2C" w:rsidP="00C962CC">
            <w:pPr>
              <w:rPr>
                <w:rFonts w:ascii="Times New Roman" w:eastAsia="Times New Roman" w:hAnsi="Times New Roman" w:cs="Times New Roman"/>
                <w:b/>
                <w:color w:val="auto"/>
                <w:sz w:val="24"/>
                <w:szCs w:val="24"/>
                <w:lang w:eastAsia="en-US"/>
              </w:rPr>
            </w:pPr>
          </w:p>
        </w:tc>
      </w:tr>
      <w:tr w:rsidR="009F7D2C" w:rsidRPr="0090237D" w14:paraId="1FE6BCCA" w14:textId="77777777" w:rsidTr="008818FD">
        <w:tc>
          <w:tcPr>
            <w:tcW w:w="2970" w:type="dxa"/>
          </w:tcPr>
          <w:p w14:paraId="081FF97F" w14:textId="071EFE93" w:rsidR="00AC6E6C" w:rsidRPr="0090237D" w:rsidRDefault="00CB229F" w:rsidP="00C962CC">
            <w:pPr>
              <w:rPr>
                <w:color w:val="auto"/>
              </w:rPr>
            </w:pPr>
            <w:r w:rsidRPr="0090237D">
              <w:rPr>
                <w:rFonts w:ascii="Times New Roman" w:hAnsi="Times New Roman"/>
                <w:b/>
                <w:color w:val="auto"/>
                <w:sz w:val="24"/>
                <w:szCs w:val="24"/>
              </w:rPr>
              <w:t>Passifs</w:t>
            </w:r>
          </w:p>
        </w:tc>
        <w:tc>
          <w:tcPr>
            <w:tcW w:w="1344" w:type="dxa"/>
          </w:tcPr>
          <w:p w14:paraId="4DB32705" w14:textId="77777777" w:rsidR="009F7D2C" w:rsidRPr="0090237D" w:rsidRDefault="009F7D2C" w:rsidP="00C962CC">
            <w:pPr>
              <w:rPr>
                <w:rFonts w:ascii="Times New Roman" w:eastAsia="Times New Roman" w:hAnsi="Times New Roman" w:cs="Times New Roman"/>
                <w:b/>
                <w:color w:val="auto"/>
                <w:sz w:val="24"/>
                <w:szCs w:val="24"/>
                <w:lang w:eastAsia="en-US"/>
              </w:rPr>
            </w:pPr>
          </w:p>
        </w:tc>
        <w:tc>
          <w:tcPr>
            <w:tcW w:w="2076" w:type="dxa"/>
            <w:gridSpan w:val="2"/>
          </w:tcPr>
          <w:p w14:paraId="6CECD942" w14:textId="77777777" w:rsidR="009F7D2C" w:rsidRPr="0090237D" w:rsidRDefault="009F7D2C" w:rsidP="00C962CC">
            <w:pPr>
              <w:rPr>
                <w:rFonts w:ascii="Times New Roman" w:eastAsia="Times New Roman" w:hAnsi="Times New Roman" w:cs="Times New Roman"/>
                <w:b/>
                <w:color w:val="auto"/>
                <w:sz w:val="24"/>
                <w:szCs w:val="24"/>
                <w:lang w:eastAsia="en-US"/>
              </w:rPr>
            </w:pPr>
          </w:p>
        </w:tc>
        <w:tc>
          <w:tcPr>
            <w:tcW w:w="2240" w:type="dxa"/>
            <w:gridSpan w:val="2"/>
          </w:tcPr>
          <w:p w14:paraId="5557AF23" w14:textId="77777777" w:rsidR="009F7D2C" w:rsidRPr="0090237D" w:rsidRDefault="009F7D2C" w:rsidP="00C962CC">
            <w:pPr>
              <w:rPr>
                <w:rFonts w:ascii="Times New Roman" w:eastAsia="Times New Roman" w:hAnsi="Times New Roman" w:cs="Times New Roman"/>
                <w:b/>
                <w:color w:val="auto"/>
                <w:sz w:val="24"/>
                <w:szCs w:val="24"/>
                <w:lang w:eastAsia="en-US"/>
              </w:rPr>
            </w:pPr>
          </w:p>
        </w:tc>
      </w:tr>
      <w:tr w:rsidR="009F7D2C" w:rsidRPr="0090237D" w14:paraId="304F9416" w14:textId="77777777" w:rsidTr="0058340D">
        <w:tc>
          <w:tcPr>
            <w:tcW w:w="6390" w:type="dxa"/>
            <w:gridSpan w:val="4"/>
          </w:tcPr>
          <w:p w14:paraId="71E55A83" w14:textId="174047FB" w:rsidR="009F7D2C" w:rsidRPr="0090237D" w:rsidRDefault="00CB229F" w:rsidP="00C962CC">
            <w:pPr>
              <w:rPr>
                <w:rFonts w:ascii="Times New Roman" w:eastAsia="Times New Roman" w:hAnsi="Times New Roman" w:cs="Times New Roman"/>
                <w:b/>
                <w:color w:val="auto"/>
                <w:sz w:val="24"/>
                <w:szCs w:val="24"/>
              </w:rPr>
            </w:pPr>
            <w:r w:rsidRPr="0090237D">
              <w:rPr>
                <w:rFonts w:ascii="Times New Roman" w:hAnsi="Times New Roman"/>
                <w:color w:val="auto"/>
                <w:sz w:val="24"/>
                <w:szCs w:val="24"/>
              </w:rPr>
              <w:t>Frais bancaires</w:t>
            </w:r>
          </w:p>
        </w:tc>
        <w:tc>
          <w:tcPr>
            <w:tcW w:w="2240" w:type="dxa"/>
            <w:gridSpan w:val="2"/>
          </w:tcPr>
          <w:p w14:paraId="06CE3839" w14:textId="77777777" w:rsidR="009F7D2C" w:rsidRPr="0090237D" w:rsidRDefault="009F7D2C" w:rsidP="00C962CC">
            <w:pPr>
              <w:rPr>
                <w:rFonts w:ascii="Times New Roman" w:eastAsia="Times New Roman" w:hAnsi="Times New Roman" w:cs="Times New Roman"/>
                <w:b/>
                <w:color w:val="auto"/>
                <w:sz w:val="24"/>
                <w:szCs w:val="24"/>
              </w:rPr>
            </w:pPr>
            <w:r w:rsidRPr="0090237D">
              <w:rPr>
                <w:rFonts w:ascii="Times New Roman" w:hAnsi="Times New Roman"/>
                <w:color w:val="auto"/>
                <w:sz w:val="24"/>
                <w:szCs w:val="24"/>
              </w:rPr>
              <w:t>-60,50</w:t>
            </w:r>
          </w:p>
        </w:tc>
      </w:tr>
      <w:tr w:rsidR="009F7D2C" w:rsidRPr="0090237D" w14:paraId="15741CEB" w14:textId="77777777" w:rsidTr="0058340D">
        <w:tc>
          <w:tcPr>
            <w:tcW w:w="6390" w:type="dxa"/>
            <w:gridSpan w:val="4"/>
          </w:tcPr>
          <w:p w14:paraId="77F0DE5D" w14:textId="09EC51F1" w:rsidR="009F7D2C" w:rsidRPr="0090237D" w:rsidRDefault="00CB229F" w:rsidP="00C962CC">
            <w:pPr>
              <w:rPr>
                <w:rFonts w:ascii="Times New Roman" w:eastAsia="Times New Roman" w:hAnsi="Times New Roman" w:cs="Times New Roman"/>
                <w:b/>
                <w:color w:val="auto"/>
                <w:sz w:val="24"/>
                <w:szCs w:val="24"/>
              </w:rPr>
            </w:pPr>
            <w:r w:rsidRPr="0090237D">
              <w:rPr>
                <w:rFonts w:ascii="Times New Roman" w:hAnsi="Times New Roman"/>
                <w:color w:val="auto"/>
                <w:sz w:val="24"/>
                <w:szCs w:val="24"/>
              </w:rPr>
              <w:t>Intérêts débiteurs</w:t>
            </w:r>
          </w:p>
        </w:tc>
        <w:tc>
          <w:tcPr>
            <w:tcW w:w="2240" w:type="dxa"/>
            <w:gridSpan w:val="2"/>
          </w:tcPr>
          <w:p w14:paraId="6E8F95D6" w14:textId="77777777" w:rsidR="009F7D2C" w:rsidRPr="0090237D" w:rsidRDefault="009F7D2C" w:rsidP="00C962CC">
            <w:pPr>
              <w:rPr>
                <w:rFonts w:ascii="Times New Roman" w:eastAsia="Times New Roman" w:hAnsi="Times New Roman" w:cs="Times New Roman"/>
                <w:b/>
                <w:color w:val="auto"/>
                <w:sz w:val="24"/>
                <w:szCs w:val="24"/>
              </w:rPr>
            </w:pPr>
            <w:r w:rsidRPr="0090237D">
              <w:rPr>
                <w:rFonts w:ascii="Times New Roman" w:hAnsi="Times New Roman"/>
                <w:color w:val="auto"/>
                <w:sz w:val="24"/>
                <w:szCs w:val="24"/>
              </w:rPr>
              <w:t>-00,60</w:t>
            </w:r>
          </w:p>
        </w:tc>
      </w:tr>
      <w:tr w:rsidR="009F7D2C" w:rsidRPr="0090237D" w14:paraId="0357989C" w14:textId="77777777" w:rsidTr="0058340D">
        <w:tc>
          <w:tcPr>
            <w:tcW w:w="6390" w:type="dxa"/>
            <w:gridSpan w:val="4"/>
          </w:tcPr>
          <w:p w14:paraId="228625AF" w14:textId="3F2CBEF5" w:rsidR="00AC6E6C" w:rsidRPr="0090237D" w:rsidRDefault="00CB229F" w:rsidP="00C962CC">
            <w:pPr>
              <w:rPr>
                <w:color w:val="auto"/>
              </w:rPr>
            </w:pPr>
            <w:r w:rsidRPr="0090237D">
              <w:rPr>
                <w:rFonts w:ascii="Times New Roman" w:hAnsi="Times New Roman"/>
                <w:color w:val="auto"/>
                <w:sz w:val="24"/>
                <w:szCs w:val="24"/>
              </w:rPr>
              <w:t>Solde de clôture</w:t>
            </w:r>
          </w:p>
        </w:tc>
        <w:tc>
          <w:tcPr>
            <w:tcW w:w="2240" w:type="dxa"/>
            <w:gridSpan w:val="2"/>
          </w:tcPr>
          <w:p w14:paraId="0F607AE7" w14:textId="77777777" w:rsidR="009F7D2C" w:rsidRPr="0090237D" w:rsidRDefault="009F7D2C" w:rsidP="00C962CC">
            <w:pPr>
              <w:rPr>
                <w:rFonts w:ascii="Times New Roman" w:eastAsia="Times New Roman" w:hAnsi="Times New Roman" w:cs="Times New Roman"/>
                <w:b/>
                <w:color w:val="auto"/>
                <w:sz w:val="24"/>
                <w:szCs w:val="24"/>
              </w:rPr>
            </w:pPr>
            <w:r w:rsidRPr="0090237D">
              <w:rPr>
                <w:rFonts w:ascii="Times New Roman" w:hAnsi="Times New Roman"/>
                <w:color w:val="auto"/>
                <w:sz w:val="24"/>
                <w:szCs w:val="24"/>
              </w:rPr>
              <w:t>98,95</w:t>
            </w:r>
          </w:p>
        </w:tc>
      </w:tr>
      <w:tr w:rsidR="008818FD" w:rsidRPr="0090237D" w14:paraId="6BDC375F" w14:textId="77777777" w:rsidTr="0058340D">
        <w:tc>
          <w:tcPr>
            <w:tcW w:w="6390" w:type="dxa"/>
            <w:gridSpan w:val="4"/>
          </w:tcPr>
          <w:p w14:paraId="52863DFC" w14:textId="77777777" w:rsidR="008818FD" w:rsidRPr="0090237D" w:rsidRDefault="008818FD" w:rsidP="00C962CC">
            <w:pPr>
              <w:rPr>
                <w:rFonts w:ascii="Times New Roman" w:eastAsia="Times New Roman" w:hAnsi="Times New Roman" w:cs="Times New Roman"/>
                <w:color w:val="auto"/>
                <w:sz w:val="24"/>
                <w:szCs w:val="24"/>
                <w:lang w:eastAsia="en-US"/>
              </w:rPr>
            </w:pPr>
          </w:p>
        </w:tc>
        <w:tc>
          <w:tcPr>
            <w:tcW w:w="2240" w:type="dxa"/>
            <w:gridSpan w:val="2"/>
          </w:tcPr>
          <w:p w14:paraId="0304D7EC" w14:textId="77777777" w:rsidR="008818FD" w:rsidRPr="0090237D" w:rsidRDefault="008818FD" w:rsidP="00C962CC">
            <w:pPr>
              <w:rPr>
                <w:rFonts w:ascii="Times New Roman" w:eastAsia="Times New Roman" w:hAnsi="Times New Roman" w:cs="Times New Roman"/>
                <w:color w:val="auto"/>
                <w:sz w:val="24"/>
                <w:szCs w:val="24"/>
                <w:lang w:eastAsia="en-US"/>
              </w:rPr>
            </w:pPr>
          </w:p>
        </w:tc>
      </w:tr>
      <w:tr w:rsidR="008818FD" w:rsidRPr="0090237D" w14:paraId="5B636F3D" w14:textId="77777777" w:rsidTr="0058340D">
        <w:tc>
          <w:tcPr>
            <w:tcW w:w="6390" w:type="dxa"/>
            <w:gridSpan w:val="4"/>
          </w:tcPr>
          <w:p w14:paraId="7A453205" w14:textId="77777777" w:rsidR="008818FD" w:rsidRPr="0090237D" w:rsidRDefault="008818FD" w:rsidP="00C962CC">
            <w:pPr>
              <w:rPr>
                <w:rFonts w:ascii="Times New Roman" w:eastAsia="Times New Roman" w:hAnsi="Times New Roman" w:cs="Times New Roman"/>
                <w:color w:val="auto"/>
                <w:sz w:val="24"/>
                <w:szCs w:val="24"/>
                <w:lang w:eastAsia="en-US"/>
              </w:rPr>
            </w:pPr>
          </w:p>
        </w:tc>
        <w:tc>
          <w:tcPr>
            <w:tcW w:w="2240" w:type="dxa"/>
            <w:gridSpan w:val="2"/>
          </w:tcPr>
          <w:p w14:paraId="4B9CD9FC" w14:textId="77777777" w:rsidR="008818FD" w:rsidRPr="0090237D" w:rsidRDefault="008818FD" w:rsidP="00C962CC">
            <w:pPr>
              <w:rPr>
                <w:rFonts w:ascii="Times New Roman" w:eastAsia="Times New Roman" w:hAnsi="Times New Roman" w:cs="Times New Roman"/>
                <w:color w:val="auto"/>
                <w:sz w:val="24"/>
                <w:szCs w:val="24"/>
                <w:lang w:eastAsia="en-US"/>
              </w:rPr>
            </w:pPr>
          </w:p>
        </w:tc>
      </w:tr>
      <w:tr w:rsidR="008818FD" w:rsidRPr="0090237D" w14:paraId="318FA705" w14:textId="77777777" w:rsidTr="0058340D">
        <w:tc>
          <w:tcPr>
            <w:tcW w:w="6390" w:type="dxa"/>
            <w:gridSpan w:val="4"/>
          </w:tcPr>
          <w:p w14:paraId="10AF5712" w14:textId="74B2FECB" w:rsidR="00AC6E6C" w:rsidRPr="0090237D" w:rsidRDefault="00CB229F" w:rsidP="00C962CC">
            <w:pPr>
              <w:rPr>
                <w:color w:val="auto"/>
              </w:rPr>
            </w:pPr>
            <w:r w:rsidRPr="0090237D">
              <w:rPr>
                <w:rFonts w:ascii="Times New Roman" w:hAnsi="Times New Roman"/>
                <w:b/>
                <w:color w:val="auto"/>
                <w:sz w:val="24"/>
                <w:szCs w:val="24"/>
              </w:rPr>
              <w:t>Compte ES (compte d’épargne à intérêt quotidien)</w:t>
            </w:r>
          </w:p>
        </w:tc>
        <w:tc>
          <w:tcPr>
            <w:tcW w:w="2240" w:type="dxa"/>
            <w:gridSpan w:val="2"/>
          </w:tcPr>
          <w:p w14:paraId="31AC1433" w14:textId="77777777" w:rsidR="008818FD" w:rsidRPr="0090237D" w:rsidRDefault="008818FD" w:rsidP="00C962CC">
            <w:pPr>
              <w:rPr>
                <w:rFonts w:ascii="Times New Roman" w:eastAsia="Times New Roman" w:hAnsi="Times New Roman" w:cs="Times New Roman"/>
                <w:color w:val="auto"/>
                <w:sz w:val="24"/>
                <w:szCs w:val="24"/>
                <w:lang w:eastAsia="en-US"/>
              </w:rPr>
            </w:pPr>
          </w:p>
        </w:tc>
      </w:tr>
      <w:tr w:rsidR="008818FD" w:rsidRPr="0090237D" w14:paraId="05811D6E" w14:textId="77777777" w:rsidTr="0058340D">
        <w:tc>
          <w:tcPr>
            <w:tcW w:w="6390" w:type="dxa"/>
            <w:gridSpan w:val="4"/>
          </w:tcPr>
          <w:p w14:paraId="6F073106" w14:textId="77777777" w:rsidR="008818FD" w:rsidRPr="0090237D" w:rsidRDefault="008818FD" w:rsidP="00C962CC">
            <w:pPr>
              <w:rPr>
                <w:rFonts w:ascii="Times New Roman" w:eastAsia="Times New Roman" w:hAnsi="Times New Roman" w:cs="Times New Roman"/>
                <w:color w:val="auto"/>
                <w:sz w:val="24"/>
                <w:szCs w:val="24"/>
                <w:lang w:eastAsia="en-US"/>
              </w:rPr>
            </w:pPr>
          </w:p>
        </w:tc>
        <w:tc>
          <w:tcPr>
            <w:tcW w:w="2240" w:type="dxa"/>
            <w:gridSpan w:val="2"/>
          </w:tcPr>
          <w:p w14:paraId="01F09497" w14:textId="77777777" w:rsidR="008818FD" w:rsidRPr="0090237D" w:rsidRDefault="008818FD" w:rsidP="00C962CC">
            <w:pPr>
              <w:rPr>
                <w:rFonts w:ascii="Times New Roman" w:eastAsia="Times New Roman" w:hAnsi="Times New Roman" w:cs="Times New Roman"/>
                <w:color w:val="auto"/>
                <w:sz w:val="24"/>
                <w:szCs w:val="24"/>
                <w:lang w:eastAsia="en-US"/>
              </w:rPr>
            </w:pPr>
          </w:p>
        </w:tc>
      </w:tr>
      <w:tr w:rsidR="008818FD" w:rsidRPr="0090237D" w14:paraId="3A7B8756" w14:textId="77777777" w:rsidTr="008818FD">
        <w:trPr>
          <w:gridAfter w:val="1"/>
          <w:wAfter w:w="800" w:type="dxa"/>
        </w:trPr>
        <w:tc>
          <w:tcPr>
            <w:tcW w:w="6390" w:type="dxa"/>
            <w:gridSpan w:val="4"/>
          </w:tcPr>
          <w:p w14:paraId="4552BDC2" w14:textId="035B95FD" w:rsidR="00AC6E6C" w:rsidRPr="0090237D" w:rsidRDefault="00CB229F" w:rsidP="00C962CC">
            <w:pPr>
              <w:rPr>
                <w:color w:val="auto"/>
              </w:rPr>
            </w:pPr>
            <w:r w:rsidRPr="0090237D">
              <w:rPr>
                <w:rFonts w:ascii="Times New Roman" w:hAnsi="Times New Roman"/>
                <w:color w:val="auto"/>
                <w:sz w:val="24"/>
                <w:szCs w:val="24"/>
              </w:rPr>
              <w:t>Solde d'ouverture</w:t>
            </w:r>
          </w:p>
        </w:tc>
        <w:tc>
          <w:tcPr>
            <w:tcW w:w="1440" w:type="dxa"/>
          </w:tcPr>
          <w:p w14:paraId="1246A02D" w14:textId="77777777" w:rsidR="008818FD" w:rsidRPr="0090237D" w:rsidRDefault="008818FD" w:rsidP="008818FD">
            <w:pPr>
              <w:jc w:val="right"/>
              <w:rPr>
                <w:rFonts w:ascii="Times New Roman" w:eastAsia="Times New Roman" w:hAnsi="Times New Roman" w:cs="Times New Roman"/>
                <w:color w:val="auto"/>
                <w:sz w:val="24"/>
                <w:szCs w:val="24"/>
              </w:rPr>
            </w:pPr>
            <w:r w:rsidRPr="0090237D">
              <w:rPr>
                <w:rFonts w:ascii="Times New Roman" w:hAnsi="Times New Roman"/>
                <w:color w:val="auto"/>
                <w:sz w:val="24"/>
                <w:szCs w:val="24"/>
              </w:rPr>
              <w:t>19 284,70 $</w:t>
            </w:r>
          </w:p>
        </w:tc>
      </w:tr>
      <w:tr w:rsidR="008818FD" w:rsidRPr="0090237D" w14:paraId="4BB11055" w14:textId="77777777" w:rsidTr="008818FD">
        <w:trPr>
          <w:gridAfter w:val="1"/>
          <w:wAfter w:w="800" w:type="dxa"/>
        </w:trPr>
        <w:tc>
          <w:tcPr>
            <w:tcW w:w="6390" w:type="dxa"/>
            <w:gridSpan w:val="4"/>
          </w:tcPr>
          <w:p w14:paraId="3003AF6E" w14:textId="77777777" w:rsidR="008818FD" w:rsidRPr="0090237D" w:rsidRDefault="008818FD" w:rsidP="00C962CC">
            <w:pPr>
              <w:rPr>
                <w:rFonts w:ascii="Times New Roman" w:eastAsia="Times New Roman" w:hAnsi="Times New Roman" w:cs="Times New Roman"/>
                <w:color w:val="auto"/>
                <w:sz w:val="24"/>
                <w:szCs w:val="24"/>
                <w:lang w:eastAsia="en-US"/>
              </w:rPr>
            </w:pPr>
          </w:p>
        </w:tc>
        <w:tc>
          <w:tcPr>
            <w:tcW w:w="1440" w:type="dxa"/>
          </w:tcPr>
          <w:p w14:paraId="186DE9DA" w14:textId="77777777" w:rsidR="008818FD" w:rsidRPr="0090237D" w:rsidRDefault="008818FD" w:rsidP="008818FD">
            <w:pPr>
              <w:jc w:val="right"/>
              <w:rPr>
                <w:rFonts w:ascii="Times New Roman" w:eastAsia="Times New Roman" w:hAnsi="Times New Roman" w:cs="Times New Roman"/>
                <w:color w:val="auto"/>
                <w:sz w:val="24"/>
                <w:szCs w:val="24"/>
                <w:lang w:eastAsia="en-US"/>
              </w:rPr>
            </w:pPr>
          </w:p>
        </w:tc>
      </w:tr>
      <w:tr w:rsidR="008818FD" w:rsidRPr="0090237D" w14:paraId="5FA5A03A" w14:textId="77777777" w:rsidTr="008818FD">
        <w:trPr>
          <w:gridAfter w:val="1"/>
          <w:wAfter w:w="800" w:type="dxa"/>
        </w:trPr>
        <w:tc>
          <w:tcPr>
            <w:tcW w:w="6390" w:type="dxa"/>
            <w:gridSpan w:val="4"/>
          </w:tcPr>
          <w:p w14:paraId="62CC794C" w14:textId="7D3E9BF9" w:rsidR="00AC6E6C" w:rsidRPr="0090237D" w:rsidRDefault="00CB229F" w:rsidP="00C962CC">
            <w:pPr>
              <w:rPr>
                <w:color w:val="auto"/>
              </w:rPr>
            </w:pPr>
            <w:r w:rsidRPr="0090237D">
              <w:rPr>
                <w:rFonts w:ascii="Times New Roman" w:hAnsi="Times New Roman"/>
                <w:b/>
                <w:color w:val="auto"/>
                <w:sz w:val="24"/>
                <w:szCs w:val="24"/>
              </w:rPr>
              <w:t>Actifs</w:t>
            </w:r>
          </w:p>
        </w:tc>
        <w:tc>
          <w:tcPr>
            <w:tcW w:w="1440" w:type="dxa"/>
          </w:tcPr>
          <w:p w14:paraId="59565271" w14:textId="77777777" w:rsidR="008818FD" w:rsidRPr="0090237D" w:rsidRDefault="008818FD" w:rsidP="008818FD">
            <w:pPr>
              <w:jc w:val="right"/>
              <w:rPr>
                <w:rFonts w:ascii="Times New Roman" w:eastAsia="Times New Roman" w:hAnsi="Times New Roman" w:cs="Times New Roman"/>
                <w:color w:val="auto"/>
                <w:sz w:val="24"/>
                <w:szCs w:val="24"/>
                <w:lang w:eastAsia="en-US"/>
              </w:rPr>
            </w:pPr>
          </w:p>
        </w:tc>
      </w:tr>
      <w:tr w:rsidR="008818FD" w:rsidRPr="0090237D" w14:paraId="1C26FE39" w14:textId="77777777" w:rsidTr="008818FD">
        <w:trPr>
          <w:gridAfter w:val="1"/>
          <w:wAfter w:w="800" w:type="dxa"/>
        </w:trPr>
        <w:tc>
          <w:tcPr>
            <w:tcW w:w="6390" w:type="dxa"/>
            <w:gridSpan w:val="4"/>
          </w:tcPr>
          <w:p w14:paraId="7000AF7A" w14:textId="77777777" w:rsidR="008818FD" w:rsidRPr="0090237D" w:rsidRDefault="008818FD" w:rsidP="00C962CC">
            <w:pPr>
              <w:rPr>
                <w:rFonts w:ascii="Times New Roman" w:eastAsia="Times New Roman" w:hAnsi="Times New Roman" w:cs="Times New Roman"/>
                <w:color w:val="auto"/>
                <w:sz w:val="24"/>
                <w:szCs w:val="24"/>
                <w:lang w:eastAsia="en-US"/>
              </w:rPr>
            </w:pPr>
          </w:p>
        </w:tc>
        <w:tc>
          <w:tcPr>
            <w:tcW w:w="1440" w:type="dxa"/>
          </w:tcPr>
          <w:p w14:paraId="6558D66D" w14:textId="77777777" w:rsidR="008818FD" w:rsidRPr="0090237D" w:rsidRDefault="008818FD" w:rsidP="008818FD">
            <w:pPr>
              <w:jc w:val="right"/>
              <w:rPr>
                <w:rFonts w:ascii="Times New Roman" w:eastAsia="Times New Roman" w:hAnsi="Times New Roman" w:cs="Times New Roman"/>
                <w:color w:val="auto"/>
                <w:sz w:val="24"/>
                <w:szCs w:val="24"/>
                <w:lang w:eastAsia="en-US"/>
              </w:rPr>
            </w:pPr>
          </w:p>
        </w:tc>
      </w:tr>
      <w:tr w:rsidR="008818FD" w:rsidRPr="0090237D" w14:paraId="2F5EA7BD" w14:textId="77777777" w:rsidTr="008818FD">
        <w:trPr>
          <w:gridAfter w:val="1"/>
          <w:wAfter w:w="800" w:type="dxa"/>
        </w:trPr>
        <w:tc>
          <w:tcPr>
            <w:tcW w:w="2970" w:type="dxa"/>
          </w:tcPr>
          <w:p w14:paraId="1EF39665" w14:textId="33A8523E" w:rsidR="00AC6E6C" w:rsidRPr="0090237D" w:rsidRDefault="00CB229F" w:rsidP="00C962CC">
            <w:pPr>
              <w:rPr>
                <w:color w:val="auto"/>
              </w:rPr>
            </w:pPr>
            <w:r w:rsidRPr="0090237D">
              <w:rPr>
                <w:rFonts w:ascii="Times New Roman" w:hAnsi="Times New Roman"/>
                <w:color w:val="auto"/>
                <w:sz w:val="24"/>
                <w:szCs w:val="24"/>
              </w:rPr>
              <w:t>Intérêts sur les dépôts à terme</w:t>
            </w:r>
          </w:p>
        </w:tc>
        <w:tc>
          <w:tcPr>
            <w:tcW w:w="1440" w:type="dxa"/>
            <w:gridSpan w:val="2"/>
          </w:tcPr>
          <w:p w14:paraId="01DD5153" w14:textId="04FA111E" w:rsidR="00AC6E6C" w:rsidRPr="0090237D" w:rsidRDefault="00CB229F" w:rsidP="00C962CC">
            <w:pPr>
              <w:rPr>
                <w:color w:val="auto"/>
              </w:rPr>
            </w:pPr>
            <w:r w:rsidRPr="0090237D">
              <w:rPr>
                <w:rFonts w:ascii="Times New Roman" w:hAnsi="Times New Roman"/>
                <w:color w:val="auto"/>
                <w:sz w:val="24"/>
                <w:szCs w:val="24"/>
              </w:rPr>
              <w:t>Mai 2018</w:t>
            </w:r>
          </w:p>
        </w:tc>
        <w:tc>
          <w:tcPr>
            <w:tcW w:w="1980" w:type="dxa"/>
          </w:tcPr>
          <w:p w14:paraId="22858C36" w14:textId="77777777" w:rsidR="008818FD" w:rsidRPr="0090237D" w:rsidRDefault="008818FD" w:rsidP="00C962CC">
            <w:pPr>
              <w:rPr>
                <w:rFonts w:ascii="Times New Roman" w:eastAsia="Times New Roman" w:hAnsi="Times New Roman" w:cs="Times New Roman"/>
                <w:color w:val="auto"/>
                <w:sz w:val="24"/>
                <w:szCs w:val="24"/>
              </w:rPr>
            </w:pPr>
            <w:r w:rsidRPr="0090237D">
              <w:rPr>
                <w:rFonts w:ascii="Times New Roman" w:hAnsi="Times New Roman"/>
                <w:color w:val="auto"/>
                <w:sz w:val="24"/>
                <w:szCs w:val="24"/>
              </w:rPr>
              <w:t>212,50 $</w:t>
            </w:r>
          </w:p>
        </w:tc>
        <w:tc>
          <w:tcPr>
            <w:tcW w:w="1440" w:type="dxa"/>
          </w:tcPr>
          <w:p w14:paraId="7860A9CA" w14:textId="77777777" w:rsidR="008818FD" w:rsidRPr="0090237D" w:rsidRDefault="008818FD" w:rsidP="008818FD">
            <w:pPr>
              <w:jc w:val="right"/>
              <w:rPr>
                <w:rFonts w:ascii="Times New Roman" w:eastAsia="Times New Roman" w:hAnsi="Times New Roman" w:cs="Times New Roman"/>
                <w:color w:val="auto"/>
                <w:sz w:val="24"/>
                <w:szCs w:val="24"/>
                <w:lang w:eastAsia="en-US"/>
              </w:rPr>
            </w:pPr>
          </w:p>
        </w:tc>
      </w:tr>
      <w:tr w:rsidR="008818FD" w:rsidRPr="0090237D" w14:paraId="0CACF2CD" w14:textId="77777777" w:rsidTr="008818FD">
        <w:trPr>
          <w:gridAfter w:val="1"/>
          <w:wAfter w:w="800" w:type="dxa"/>
        </w:trPr>
        <w:tc>
          <w:tcPr>
            <w:tcW w:w="2970" w:type="dxa"/>
          </w:tcPr>
          <w:p w14:paraId="5D55D327" w14:textId="77777777" w:rsidR="008818FD" w:rsidRPr="0090237D" w:rsidRDefault="008818FD" w:rsidP="00C962CC">
            <w:pPr>
              <w:rPr>
                <w:rFonts w:ascii="Times New Roman" w:eastAsia="Times New Roman" w:hAnsi="Times New Roman" w:cs="Times New Roman"/>
                <w:color w:val="auto"/>
                <w:sz w:val="24"/>
                <w:szCs w:val="24"/>
                <w:lang w:eastAsia="en-US"/>
              </w:rPr>
            </w:pPr>
          </w:p>
        </w:tc>
        <w:tc>
          <w:tcPr>
            <w:tcW w:w="1440" w:type="dxa"/>
            <w:gridSpan w:val="2"/>
          </w:tcPr>
          <w:p w14:paraId="409262AC" w14:textId="5F12B4CE" w:rsidR="00AC6E6C" w:rsidRPr="0090237D" w:rsidRDefault="00CB229F" w:rsidP="00C962CC">
            <w:pPr>
              <w:rPr>
                <w:color w:val="auto"/>
              </w:rPr>
            </w:pPr>
            <w:r w:rsidRPr="0090237D">
              <w:rPr>
                <w:rFonts w:ascii="Times New Roman" w:hAnsi="Times New Roman"/>
                <w:color w:val="auto"/>
                <w:sz w:val="24"/>
                <w:szCs w:val="24"/>
              </w:rPr>
              <w:t>Décembre 2018</w:t>
            </w:r>
          </w:p>
        </w:tc>
        <w:tc>
          <w:tcPr>
            <w:tcW w:w="1980" w:type="dxa"/>
          </w:tcPr>
          <w:p w14:paraId="4AE042B7" w14:textId="77777777" w:rsidR="008818FD" w:rsidRPr="0090237D" w:rsidRDefault="008818FD" w:rsidP="00C962CC">
            <w:pPr>
              <w:rPr>
                <w:rFonts w:ascii="Times New Roman" w:eastAsia="Times New Roman" w:hAnsi="Times New Roman" w:cs="Times New Roman"/>
                <w:color w:val="auto"/>
                <w:sz w:val="24"/>
                <w:szCs w:val="24"/>
              </w:rPr>
            </w:pPr>
            <w:r w:rsidRPr="0090237D">
              <w:rPr>
                <w:rFonts w:ascii="Times New Roman" w:hAnsi="Times New Roman"/>
                <w:color w:val="auto"/>
                <w:sz w:val="24"/>
                <w:szCs w:val="24"/>
              </w:rPr>
              <w:t>191,10 $</w:t>
            </w:r>
          </w:p>
        </w:tc>
        <w:tc>
          <w:tcPr>
            <w:tcW w:w="1440" w:type="dxa"/>
          </w:tcPr>
          <w:p w14:paraId="186C4558" w14:textId="77777777" w:rsidR="008818FD" w:rsidRPr="0090237D" w:rsidRDefault="008818FD" w:rsidP="008818FD">
            <w:pPr>
              <w:jc w:val="right"/>
              <w:rPr>
                <w:rFonts w:ascii="Times New Roman" w:eastAsia="Times New Roman" w:hAnsi="Times New Roman" w:cs="Times New Roman"/>
                <w:color w:val="auto"/>
                <w:sz w:val="24"/>
                <w:szCs w:val="24"/>
                <w:lang w:eastAsia="en-US"/>
              </w:rPr>
            </w:pPr>
          </w:p>
        </w:tc>
      </w:tr>
      <w:tr w:rsidR="008818FD" w:rsidRPr="0090237D" w14:paraId="7BB03A99" w14:textId="77777777" w:rsidTr="008818FD">
        <w:trPr>
          <w:gridAfter w:val="1"/>
          <w:wAfter w:w="800" w:type="dxa"/>
        </w:trPr>
        <w:tc>
          <w:tcPr>
            <w:tcW w:w="2970" w:type="dxa"/>
          </w:tcPr>
          <w:p w14:paraId="61EB4DEE" w14:textId="77777777" w:rsidR="008818FD" w:rsidRPr="0090237D" w:rsidRDefault="008818FD" w:rsidP="00C962CC">
            <w:pPr>
              <w:rPr>
                <w:rFonts w:ascii="Times New Roman" w:eastAsia="Times New Roman" w:hAnsi="Times New Roman" w:cs="Times New Roman"/>
                <w:color w:val="auto"/>
                <w:sz w:val="24"/>
                <w:szCs w:val="24"/>
                <w:lang w:eastAsia="en-US"/>
              </w:rPr>
            </w:pPr>
          </w:p>
        </w:tc>
        <w:tc>
          <w:tcPr>
            <w:tcW w:w="1440" w:type="dxa"/>
            <w:gridSpan w:val="2"/>
          </w:tcPr>
          <w:p w14:paraId="1B198ACA" w14:textId="0BE32AB0" w:rsidR="00AC6E6C" w:rsidRPr="0090237D" w:rsidRDefault="00CB229F" w:rsidP="00C962CC">
            <w:pPr>
              <w:rPr>
                <w:color w:val="auto"/>
              </w:rPr>
            </w:pPr>
            <w:r w:rsidRPr="0090237D">
              <w:rPr>
                <w:rFonts w:ascii="Times New Roman" w:hAnsi="Times New Roman"/>
                <w:color w:val="auto"/>
                <w:sz w:val="24"/>
                <w:szCs w:val="24"/>
              </w:rPr>
              <w:t>Février 2019</w:t>
            </w:r>
          </w:p>
        </w:tc>
        <w:tc>
          <w:tcPr>
            <w:tcW w:w="1980" w:type="dxa"/>
          </w:tcPr>
          <w:p w14:paraId="3DEE2D5E" w14:textId="77777777" w:rsidR="008818FD" w:rsidRPr="0090237D" w:rsidRDefault="008818FD" w:rsidP="00C962CC">
            <w:pPr>
              <w:rPr>
                <w:rFonts w:ascii="Times New Roman" w:eastAsia="Times New Roman" w:hAnsi="Times New Roman" w:cs="Times New Roman"/>
                <w:color w:val="auto"/>
                <w:sz w:val="24"/>
                <w:szCs w:val="24"/>
              </w:rPr>
            </w:pPr>
            <w:r w:rsidRPr="0090237D">
              <w:rPr>
                <w:rFonts w:ascii="Times New Roman" w:hAnsi="Times New Roman"/>
                <w:color w:val="auto"/>
                <w:sz w:val="24"/>
                <w:szCs w:val="24"/>
              </w:rPr>
              <w:t>75,42 $</w:t>
            </w:r>
          </w:p>
        </w:tc>
        <w:tc>
          <w:tcPr>
            <w:tcW w:w="1440" w:type="dxa"/>
          </w:tcPr>
          <w:p w14:paraId="754F3BA6" w14:textId="77777777" w:rsidR="008818FD" w:rsidRPr="0090237D" w:rsidRDefault="008818FD" w:rsidP="008818FD">
            <w:pPr>
              <w:jc w:val="right"/>
              <w:rPr>
                <w:rFonts w:ascii="Times New Roman" w:eastAsia="Times New Roman" w:hAnsi="Times New Roman" w:cs="Times New Roman"/>
                <w:color w:val="auto"/>
                <w:sz w:val="24"/>
                <w:szCs w:val="24"/>
              </w:rPr>
            </w:pPr>
            <w:r w:rsidRPr="0090237D">
              <w:rPr>
                <w:rFonts w:ascii="Times New Roman" w:hAnsi="Times New Roman"/>
                <w:color w:val="auto"/>
                <w:sz w:val="24"/>
                <w:szCs w:val="24"/>
              </w:rPr>
              <w:t>479,02</w:t>
            </w:r>
          </w:p>
        </w:tc>
      </w:tr>
      <w:tr w:rsidR="008818FD" w:rsidRPr="0090237D" w14:paraId="06B9D071" w14:textId="77777777" w:rsidTr="008818FD">
        <w:trPr>
          <w:gridAfter w:val="1"/>
          <w:wAfter w:w="800" w:type="dxa"/>
        </w:trPr>
        <w:tc>
          <w:tcPr>
            <w:tcW w:w="6390" w:type="dxa"/>
            <w:gridSpan w:val="4"/>
          </w:tcPr>
          <w:p w14:paraId="32C503FB" w14:textId="77777777" w:rsidR="008818FD" w:rsidRPr="0090237D" w:rsidRDefault="008818FD" w:rsidP="00C962CC">
            <w:pPr>
              <w:rPr>
                <w:rFonts w:ascii="Times New Roman" w:eastAsia="Times New Roman" w:hAnsi="Times New Roman" w:cs="Times New Roman"/>
                <w:color w:val="auto"/>
                <w:sz w:val="24"/>
                <w:szCs w:val="24"/>
                <w:lang w:eastAsia="en-US"/>
              </w:rPr>
            </w:pPr>
          </w:p>
        </w:tc>
        <w:tc>
          <w:tcPr>
            <w:tcW w:w="1440" w:type="dxa"/>
          </w:tcPr>
          <w:p w14:paraId="4B368C86" w14:textId="77777777" w:rsidR="008818FD" w:rsidRPr="0090237D" w:rsidRDefault="008818FD" w:rsidP="008818FD">
            <w:pPr>
              <w:jc w:val="right"/>
              <w:rPr>
                <w:rFonts w:ascii="Times New Roman" w:eastAsia="Times New Roman" w:hAnsi="Times New Roman" w:cs="Times New Roman"/>
                <w:color w:val="auto"/>
                <w:sz w:val="24"/>
                <w:szCs w:val="24"/>
                <w:lang w:eastAsia="en-US"/>
              </w:rPr>
            </w:pPr>
          </w:p>
        </w:tc>
      </w:tr>
      <w:tr w:rsidR="008818FD" w:rsidRPr="0090237D" w14:paraId="4A31D837" w14:textId="77777777" w:rsidTr="008818FD">
        <w:trPr>
          <w:gridAfter w:val="1"/>
          <w:wAfter w:w="800" w:type="dxa"/>
        </w:trPr>
        <w:tc>
          <w:tcPr>
            <w:tcW w:w="6390" w:type="dxa"/>
            <w:gridSpan w:val="4"/>
          </w:tcPr>
          <w:p w14:paraId="217E37C6" w14:textId="4259DF30" w:rsidR="008818FD" w:rsidRPr="0090237D" w:rsidRDefault="00CB229F" w:rsidP="00C962CC">
            <w:pPr>
              <w:rPr>
                <w:rFonts w:ascii="Times New Roman" w:eastAsia="Times New Roman" w:hAnsi="Times New Roman" w:cs="Times New Roman"/>
                <w:color w:val="auto"/>
                <w:sz w:val="24"/>
                <w:szCs w:val="24"/>
              </w:rPr>
            </w:pPr>
            <w:r w:rsidRPr="0090237D">
              <w:rPr>
                <w:rFonts w:ascii="Times New Roman" w:hAnsi="Times New Roman"/>
                <w:color w:val="auto"/>
                <w:sz w:val="24"/>
                <w:szCs w:val="24"/>
              </w:rPr>
              <w:t>Argent transféré pour couvrir les frais liés au compte de chèque</w:t>
            </w:r>
          </w:p>
        </w:tc>
        <w:tc>
          <w:tcPr>
            <w:tcW w:w="1440" w:type="dxa"/>
          </w:tcPr>
          <w:p w14:paraId="022E6DAB" w14:textId="77777777" w:rsidR="008818FD" w:rsidRPr="0090237D" w:rsidRDefault="008818FD" w:rsidP="008818FD">
            <w:pPr>
              <w:jc w:val="right"/>
              <w:rPr>
                <w:rFonts w:ascii="Times New Roman" w:eastAsia="Times New Roman" w:hAnsi="Times New Roman" w:cs="Times New Roman"/>
                <w:color w:val="auto"/>
                <w:sz w:val="24"/>
                <w:szCs w:val="24"/>
              </w:rPr>
            </w:pPr>
            <w:r w:rsidRPr="0090237D">
              <w:rPr>
                <w:rFonts w:ascii="Times New Roman" w:hAnsi="Times New Roman"/>
                <w:color w:val="auto"/>
                <w:sz w:val="24"/>
                <w:szCs w:val="24"/>
              </w:rPr>
              <w:t>-172,50</w:t>
            </w:r>
          </w:p>
        </w:tc>
      </w:tr>
      <w:tr w:rsidR="008818FD" w:rsidRPr="0090237D" w14:paraId="7A76A3BB" w14:textId="77777777" w:rsidTr="008818FD">
        <w:trPr>
          <w:gridAfter w:val="1"/>
          <w:wAfter w:w="800" w:type="dxa"/>
        </w:trPr>
        <w:tc>
          <w:tcPr>
            <w:tcW w:w="6390" w:type="dxa"/>
            <w:gridSpan w:val="4"/>
          </w:tcPr>
          <w:p w14:paraId="75409E6E" w14:textId="689AE446" w:rsidR="008818FD" w:rsidRPr="0090237D" w:rsidRDefault="00CB229F" w:rsidP="00C962CC">
            <w:pPr>
              <w:rPr>
                <w:rFonts w:ascii="Times New Roman" w:eastAsia="Times New Roman" w:hAnsi="Times New Roman" w:cs="Times New Roman"/>
                <w:color w:val="auto"/>
                <w:sz w:val="24"/>
                <w:szCs w:val="24"/>
              </w:rPr>
            </w:pPr>
            <w:r w:rsidRPr="0090237D">
              <w:rPr>
                <w:rFonts w:ascii="Times New Roman" w:hAnsi="Times New Roman"/>
                <w:color w:val="auto"/>
                <w:sz w:val="24"/>
                <w:szCs w:val="24"/>
              </w:rPr>
              <w:t>Frais de transfert électronique</w:t>
            </w:r>
          </w:p>
        </w:tc>
        <w:tc>
          <w:tcPr>
            <w:tcW w:w="1440" w:type="dxa"/>
          </w:tcPr>
          <w:p w14:paraId="4B0ADABF" w14:textId="77777777" w:rsidR="008818FD" w:rsidRPr="0090237D" w:rsidRDefault="008818FD" w:rsidP="008818FD">
            <w:pPr>
              <w:jc w:val="right"/>
              <w:rPr>
                <w:rFonts w:ascii="Times New Roman" w:eastAsia="Times New Roman" w:hAnsi="Times New Roman" w:cs="Times New Roman"/>
                <w:color w:val="auto"/>
                <w:sz w:val="24"/>
                <w:szCs w:val="24"/>
              </w:rPr>
            </w:pPr>
            <w:r w:rsidRPr="0090237D">
              <w:rPr>
                <w:rFonts w:ascii="Times New Roman" w:hAnsi="Times New Roman"/>
                <w:color w:val="auto"/>
                <w:sz w:val="24"/>
                <w:szCs w:val="24"/>
              </w:rPr>
              <w:t>-3,00</w:t>
            </w:r>
          </w:p>
        </w:tc>
      </w:tr>
      <w:tr w:rsidR="008818FD" w:rsidRPr="0090237D" w14:paraId="7F484F32" w14:textId="77777777" w:rsidTr="008818FD">
        <w:trPr>
          <w:gridAfter w:val="1"/>
          <w:wAfter w:w="800" w:type="dxa"/>
        </w:trPr>
        <w:tc>
          <w:tcPr>
            <w:tcW w:w="6390" w:type="dxa"/>
            <w:gridSpan w:val="4"/>
          </w:tcPr>
          <w:p w14:paraId="34742EAD" w14:textId="77777777" w:rsidR="008818FD" w:rsidRPr="0090237D" w:rsidRDefault="008818FD" w:rsidP="00C962CC">
            <w:pPr>
              <w:rPr>
                <w:rFonts w:ascii="Times New Roman" w:eastAsia="Times New Roman" w:hAnsi="Times New Roman" w:cs="Times New Roman"/>
                <w:color w:val="auto"/>
                <w:sz w:val="24"/>
                <w:szCs w:val="24"/>
                <w:lang w:eastAsia="en-US"/>
              </w:rPr>
            </w:pPr>
          </w:p>
        </w:tc>
        <w:tc>
          <w:tcPr>
            <w:tcW w:w="1440" w:type="dxa"/>
          </w:tcPr>
          <w:p w14:paraId="682F727F" w14:textId="77777777" w:rsidR="008818FD" w:rsidRPr="0090237D" w:rsidRDefault="008818FD" w:rsidP="008818FD">
            <w:pPr>
              <w:jc w:val="right"/>
              <w:rPr>
                <w:rFonts w:ascii="Times New Roman" w:eastAsia="Times New Roman" w:hAnsi="Times New Roman" w:cs="Times New Roman"/>
                <w:color w:val="auto"/>
                <w:sz w:val="24"/>
                <w:szCs w:val="24"/>
                <w:lang w:eastAsia="en-US"/>
              </w:rPr>
            </w:pPr>
          </w:p>
        </w:tc>
      </w:tr>
      <w:tr w:rsidR="008818FD" w:rsidRPr="0090237D" w14:paraId="32D46013" w14:textId="77777777" w:rsidTr="008818FD">
        <w:trPr>
          <w:gridAfter w:val="1"/>
          <w:wAfter w:w="800" w:type="dxa"/>
        </w:trPr>
        <w:tc>
          <w:tcPr>
            <w:tcW w:w="6390" w:type="dxa"/>
            <w:gridSpan w:val="4"/>
          </w:tcPr>
          <w:p w14:paraId="141321EF" w14:textId="03619AD9" w:rsidR="008818FD" w:rsidRPr="0090237D" w:rsidRDefault="00CB229F" w:rsidP="00C962CC">
            <w:pPr>
              <w:rPr>
                <w:rFonts w:ascii="Times New Roman" w:eastAsia="Times New Roman" w:hAnsi="Times New Roman" w:cs="Times New Roman"/>
                <w:color w:val="auto"/>
                <w:sz w:val="24"/>
                <w:szCs w:val="24"/>
              </w:rPr>
            </w:pPr>
            <w:r w:rsidRPr="0090237D">
              <w:rPr>
                <w:rFonts w:ascii="Times New Roman" w:hAnsi="Times New Roman"/>
                <w:color w:val="auto"/>
                <w:sz w:val="24"/>
                <w:szCs w:val="24"/>
              </w:rPr>
              <w:t>Intérêts accumulés sur le Compte ES</w:t>
            </w:r>
          </w:p>
        </w:tc>
        <w:tc>
          <w:tcPr>
            <w:tcW w:w="1440" w:type="dxa"/>
          </w:tcPr>
          <w:p w14:paraId="3D098F89" w14:textId="77777777" w:rsidR="008818FD" w:rsidRPr="0090237D" w:rsidRDefault="008818FD" w:rsidP="008818FD">
            <w:pPr>
              <w:jc w:val="right"/>
              <w:rPr>
                <w:rFonts w:ascii="Times New Roman" w:eastAsia="Times New Roman" w:hAnsi="Times New Roman" w:cs="Times New Roman"/>
                <w:color w:val="auto"/>
                <w:sz w:val="24"/>
                <w:szCs w:val="24"/>
              </w:rPr>
            </w:pPr>
            <w:r w:rsidRPr="0090237D">
              <w:rPr>
                <w:rFonts w:ascii="Times New Roman" w:hAnsi="Times New Roman"/>
                <w:color w:val="auto"/>
                <w:sz w:val="24"/>
                <w:szCs w:val="24"/>
              </w:rPr>
              <w:t>8,88</w:t>
            </w:r>
          </w:p>
        </w:tc>
      </w:tr>
      <w:tr w:rsidR="008818FD" w:rsidRPr="0090237D" w14:paraId="3B9CB1AC" w14:textId="77777777" w:rsidTr="008818FD">
        <w:trPr>
          <w:gridAfter w:val="1"/>
          <w:wAfter w:w="800" w:type="dxa"/>
        </w:trPr>
        <w:tc>
          <w:tcPr>
            <w:tcW w:w="6390" w:type="dxa"/>
            <w:gridSpan w:val="4"/>
          </w:tcPr>
          <w:p w14:paraId="1876828F" w14:textId="77777777" w:rsidR="008818FD" w:rsidRPr="0090237D" w:rsidRDefault="008818FD" w:rsidP="00C962CC">
            <w:pPr>
              <w:rPr>
                <w:rFonts w:ascii="Times New Roman" w:eastAsia="Times New Roman" w:hAnsi="Times New Roman" w:cs="Times New Roman"/>
                <w:color w:val="auto"/>
                <w:sz w:val="24"/>
                <w:szCs w:val="24"/>
                <w:lang w:eastAsia="en-US"/>
              </w:rPr>
            </w:pPr>
          </w:p>
        </w:tc>
        <w:tc>
          <w:tcPr>
            <w:tcW w:w="1440" w:type="dxa"/>
          </w:tcPr>
          <w:p w14:paraId="157B70A2" w14:textId="77777777" w:rsidR="008818FD" w:rsidRPr="0090237D" w:rsidRDefault="008818FD" w:rsidP="008818FD">
            <w:pPr>
              <w:jc w:val="right"/>
              <w:rPr>
                <w:rFonts w:ascii="Times New Roman" w:eastAsia="Times New Roman" w:hAnsi="Times New Roman" w:cs="Times New Roman"/>
                <w:color w:val="auto"/>
                <w:sz w:val="24"/>
                <w:szCs w:val="24"/>
                <w:lang w:eastAsia="en-US"/>
              </w:rPr>
            </w:pPr>
          </w:p>
        </w:tc>
      </w:tr>
      <w:tr w:rsidR="008818FD" w:rsidRPr="0090237D" w14:paraId="7BC0E31C" w14:textId="77777777" w:rsidTr="008818FD">
        <w:trPr>
          <w:gridAfter w:val="1"/>
          <w:wAfter w:w="800" w:type="dxa"/>
        </w:trPr>
        <w:tc>
          <w:tcPr>
            <w:tcW w:w="6390" w:type="dxa"/>
            <w:gridSpan w:val="4"/>
          </w:tcPr>
          <w:p w14:paraId="0558DD84" w14:textId="77777777" w:rsidR="008818FD" w:rsidRPr="0090237D" w:rsidRDefault="008818FD" w:rsidP="00C962CC">
            <w:pPr>
              <w:rPr>
                <w:rFonts w:ascii="Times New Roman" w:eastAsia="Times New Roman" w:hAnsi="Times New Roman" w:cs="Times New Roman"/>
                <w:color w:val="auto"/>
                <w:sz w:val="24"/>
                <w:szCs w:val="24"/>
                <w:lang w:eastAsia="en-US"/>
              </w:rPr>
            </w:pPr>
          </w:p>
        </w:tc>
        <w:tc>
          <w:tcPr>
            <w:tcW w:w="1440" w:type="dxa"/>
          </w:tcPr>
          <w:p w14:paraId="3D36D61D" w14:textId="77777777" w:rsidR="008818FD" w:rsidRPr="0090237D" w:rsidRDefault="008818FD" w:rsidP="008818FD">
            <w:pPr>
              <w:jc w:val="right"/>
              <w:rPr>
                <w:rFonts w:ascii="Times New Roman" w:eastAsia="Times New Roman" w:hAnsi="Times New Roman" w:cs="Times New Roman"/>
                <w:color w:val="auto"/>
                <w:sz w:val="24"/>
                <w:szCs w:val="24"/>
                <w:lang w:eastAsia="en-US"/>
              </w:rPr>
            </w:pPr>
          </w:p>
        </w:tc>
      </w:tr>
      <w:tr w:rsidR="008818FD" w:rsidRPr="0090237D" w14:paraId="541C5975" w14:textId="77777777" w:rsidTr="008818FD">
        <w:trPr>
          <w:gridAfter w:val="1"/>
          <w:wAfter w:w="800" w:type="dxa"/>
        </w:trPr>
        <w:tc>
          <w:tcPr>
            <w:tcW w:w="6390" w:type="dxa"/>
            <w:gridSpan w:val="4"/>
          </w:tcPr>
          <w:p w14:paraId="31D59B70" w14:textId="6CBA2513" w:rsidR="008818FD" w:rsidRPr="0090237D" w:rsidRDefault="00CB229F" w:rsidP="00C962CC">
            <w:pPr>
              <w:rPr>
                <w:rFonts w:ascii="Times New Roman" w:eastAsia="Times New Roman" w:hAnsi="Times New Roman" w:cs="Times New Roman"/>
                <w:color w:val="auto"/>
                <w:sz w:val="24"/>
                <w:szCs w:val="24"/>
              </w:rPr>
            </w:pPr>
            <w:r w:rsidRPr="0090237D">
              <w:rPr>
                <w:rFonts w:ascii="Times New Roman" w:hAnsi="Times New Roman"/>
                <w:color w:val="auto"/>
                <w:sz w:val="24"/>
                <w:szCs w:val="24"/>
              </w:rPr>
              <w:t>Solde au 31 mars 2019</w:t>
            </w:r>
            <w:r w:rsidRPr="0090237D">
              <w:rPr>
                <w:rFonts w:ascii="Times New Roman" w:hAnsi="Times New Roman"/>
                <w:color w:val="auto"/>
                <w:sz w:val="24"/>
                <w:szCs w:val="24"/>
              </w:rPr>
              <w:tab/>
            </w:r>
          </w:p>
        </w:tc>
        <w:tc>
          <w:tcPr>
            <w:tcW w:w="1440" w:type="dxa"/>
          </w:tcPr>
          <w:p w14:paraId="6AB8F1AD" w14:textId="77777777" w:rsidR="008818FD" w:rsidRPr="0090237D" w:rsidRDefault="008818FD" w:rsidP="008818FD">
            <w:pPr>
              <w:jc w:val="right"/>
              <w:rPr>
                <w:rFonts w:ascii="Times New Roman" w:eastAsia="Times New Roman" w:hAnsi="Times New Roman" w:cs="Times New Roman"/>
                <w:color w:val="auto"/>
                <w:sz w:val="24"/>
                <w:szCs w:val="24"/>
              </w:rPr>
            </w:pPr>
            <w:r w:rsidRPr="0090237D">
              <w:rPr>
                <w:rFonts w:ascii="Times New Roman" w:hAnsi="Times New Roman"/>
                <w:b/>
                <w:color w:val="auto"/>
                <w:sz w:val="24"/>
                <w:szCs w:val="24"/>
              </w:rPr>
              <w:t>19 597,10 $</w:t>
            </w:r>
          </w:p>
        </w:tc>
      </w:tr>
    </w:tbl>
    <w:p w14:paraId="5EA0AEA6" w14:textId="77777777" w:rsidR="00E719EC" w:rsidRPr="0090237D" w:rsidRDefault="00E719EC" w:rsidP="00E719EC">
      <w:pPr>
        <w:spacing w:before="0" w:after="0" w:line="240" w:lineRule="auto"/>
        <w:rPr>
          <w:rFonts w:ascii="Times New Roman" w:eastAsia="Times New Roman" w:hAnsi="Times New Roman" w:cs="Times New Roman"/>
          <w:b/>
          <w:color w:val="auto"/>
          <w:sz w:val="24"/>
          <w:szCs w:val="24"/>
        </w:rPr>
      </w:pPr>
      <w:r w:rsidRPr="0090237D">
        <w:rPr>
          <w:color w:val="auto"/>
        </w:rPr>
        <w:br w:type="page"/>
      </w:r>
    </w:p>
    <w:p w14:paraId="55590BA4" w14:textId="07D4F5B3" w:rsidR="00E719EC" w:rsidRPr="0090237D" w:rsidRDefault="00CB229F" w:rsidP="00E719EC">
      <w:pPr>
        <w:spacing w:before="0" w:after="0" w:line="240" w:lineRule="auto"/>
        <w:jc w:val="center"/>
        <w:rPr>
          <w:rFonts w:ascii="Times New Roman" w:eastAsia="Times New Roman" w:hAnsi="Times New Roman" w:cs="Times New Roman"/>
          <w:b/>
          <w:color w:val="auto"/>
          <w:sz w:val="24"/>
          <w:szCs w:val="24"/>
          <w:lang w:val="en-CA"/>
        </w:rPr>
      </w:pPr>
      <w:r w:rsidRPr="0090237D">
        <w:rPr>
          <w:rFonts w:ascii="Times New Roman" w:hAnsi="Times New Roman"/>
          <w:b/>
          <w:color w:val="auto"/>
          <w:sz w:val="24"/>
          <w:szCs w:val="24"/>
          <w:lang w:val="en-CA"/>
        </w:rPr>
        <w:lastRenderedPageBreak/>
        <w:t>Banque de Montréal (Fredericton)</w:t>
      </w:r>
    </w:p>
    <w:p w14:paraId="54207DA6" w14:textId="77777777" w:rsidR="00E719EC" w:rsidRPr="0090237D" w:rsidRDefault="00E719EC" w:rsidP="00E719EC">
      <w:pPr>
        <w:spacing w:before="0" w:after="0" w:line="240" w:lineRule="auto"/>
        <w:jc w:val="center"/>
        <w:rPr>
          <w:rFonts w:ascii="Times New Roman" w:eastAsia="Times New Roman" w:hAnsi="Times New Roman" w:cs="Times New Roman"/>
          <w:b/>
          <w:color w:val="auto"/>
          <w:sz w:val="24"/>
          <w:szCs w:val="24"/>
          <w:lang w:val="en-CA" w:eastAsia="en-US"/>
        </w:rPr>
      </w:pPr>
    </w:p>
    <w:tbl>
      <w:tblPr>
        <w:tblStyle w:val="Grilledutableau"/>
        <w:tblW w:w="942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1260"/>
        <w:gridCol w:w="360"/>
        <w:gridCol w:w="96"/>
        <w:gridCol w:w="775"/>
        <w:gridCol w:w="119"/>
        <w:gridCol w:w="331"/>
        <w:gridCol w:w="270"/>
        <w:gridCol w:w="839"/>
        <w:gridCol w:w="990"/>
        <w:gridCol w:w="691"/>
      </w:tblGrid>
      <w:tr w:rsidR="003B2947" w:rsidRPr="0090237D" w14:paraId="19D03DCC" w14:textId="77777777" w:rsidTr="005E795E">
        <w:tc>
          <w:tcPr>
            <w:tcW w:w="3690" w:type="dxa"/>
          </w:tcPr>
          <w:p w14:paraId="7D8138CB" w14:textId="54D1409F" w:rsidR="003341B8" w:rsidRPr="0090237D" w:rsidRDefault="00CB229F" w:rsidP="003B2947">
            <w:pPr>
              <w:rPr>
                <w:color w:val="auto"/>
              </w:rPr>
            </w:pPr>
            <w:r w:rsidRPr="0090237D">
              <w:rPr>
                <w:rFonts w:ascii="Times New Roman" w:hAnsi="Times New Roman"/>
                <w:b/>
                <w:color w:val="auto"/>
                <w:sz w:val="24"/>
                <w:szCs w:val="24"/>
              </w:rPr>
              <w:t>Décomptes</w:t>
            </w:r>
          </w:p>
        </w:tc>
        <w:tc>
          <w:tcPr>
            <w:tcW w:w="3211" w:type="dxa"/>
            <w:gridSpan w:val="7"/>
          </w:tcPr>
          <w:p w14:paraId="616CCEBD" w14:textId="77777777" w:rsidR="003B2947" w:rsidRPr="0090237D" w:rsidRDefault="003B2947" w:rsidP="003B2947">
            <w:pPr>
              <w:rPr>
                <w:rFonts w:ascii="Times New Roman" w:eastAsia="Times New Roman" w:hAnsi="Times New Roman" w:cs="Times New Roman"/>
                <w:b/>
                <w:color w:val="auto"/>
                <w:sz w:val="24"/>
                <w:szCs w:val="24"/>
                <w:lang w:eastAsia="en-US"/>
              </w:rPr>
            </w:pPr>
          </w:p>
        </w:tc>
        <w:tc>
          <w:tcPr>
            <w:tcW w:w="2520" w:type="dxa"/>
            <w:gridSpan w:val="3"/>
          </w:tcPr>
          <w:p w14:paraId="26440067" w14:textId="77777777" w:rsidR="003B2947" w:rsidRPr="0090237D" w:rsidRDefault="003B2947" w:rsidP="003B2947">
            <w:pPr>
              <w:rPr>
                <w:rFonts w:ascii="Times New Roman" w:eastAsia="Times New Roman" w:hAnsi="Times New Roman" w:cs="Times New Roman"/>
                <w:b/>
                <w:color w:val="auto"/>
                <w:sz w:val="24"/>
                <w:szCs w:val="24"/>
                <w:lang w:eastAsia="en-US"/>
              </w:rPr>
            </w:pPr>
          </w:p>
        </w:tc>
      </w:tr>
      <w:tr w:rsidR="00F351DD" w:rsidRPr="0090237D" w14:paraId="11444ADE" w14:textId="77777777" w:rsidTr="005E795E">
        <w:tc>
          <w:tcPr>
            <w:tcW w:w="6901" w:type="dxa"/>
            <w:gridSpan w:val="8"/>
          </w:tcPr>
          <w:p w14:paraId="64DF6E6F" w14:textId="553EBA10" w:rsidR="003341B8" w:rsidRPr="0090237D" w:rsidRDefault="00CB229F" w:rsidP="003B2947">
            <w:pPr>
              <w:rPr>
                <w:color w:val="auto"/>
              </w:rPr>
            </w:pPr>
            <w:r w:rsidRPr="0090237D">
              <w:rPr>
                <w:rFonts w:ascii="Times New Roman" w:hAnsi="Times New Roman"/>
                <w:color w:val="auto"/>
                <w:sz w:val="24"/>
                <w:szCs w:val="24"/>
              </w:rPr>
              <w:t>Solde d'ouverture (1</w:t>
            </w:r>
            <w:r w:rsidRPr="0090237D">
              <w:rPr>
                <w:rFonts w:ascii="Times New Roman" w:hAnsi="Times New Roman"/>
                <w:color w:val="auto"/>
                <w:sz w:val="24"/>
                <w:szCs w:val="24"/>
                <w:vertAlign w:val="superscript"/>
              </w:rPr>
              <w:t>er</w:t>
            </w:r>
            <w:r w:rsidR="00BD551C" w:rsidRPr="0090237D">
              <w:rPr>
                <w:rFonts w:ascii="Times New Roman" w:hAnsi="Times New Roman"/>
                <w:color w:val="auto"/>
                <w:sz w:val="24"/>
                <w:szCs w:val="24"/>
                <w:vertAlign w:val="superscript"/>
              </w:rPr>
              <w:t> </w:t>
            </w:r>
            <w:r w:rsidRPr="0090237D">
              <w:rPr>
                <w:rFonts w:ascii="Times New Roman" w:hAnsi="Times New Roman"/>
                <w:color w:val="auto"/>
                <w:sz w:val="24"/>
                <w:szCs w:val="24"/>
              </w:rPr>
              <w:t>avril</w:t>
            </w:r>
            <w:r w:rsidR="00BD551C" w:rsidRPr="0090237D">
              <w:rPr>
                <w:rFonts w:ascii="Times New Roman" w:hAnsi="Times New Roman"/>
                <w:color w:val="auto"/>
                <w:sz w:val="24"/>
                <w:szCs w:val="24"/>
              </w:rPr>
              <w:t> </w:t>
            </w:r>
            <w:r w:rsidRPr="0090237D">
              <w:rPr>
                <w:rFonts w:ascii="Times New Roman" w:hAnsi="Times New Roman"/>
                <w:color w:val="auto"/>
                <w:sz w:val="24"/>
                <w:szCs w:val="24"/>
              </w:rPr>
              <w:t>2018)</w:t>
            </w:r>
          </w:p>
        </w:tc>
        <w:tc>
          <w:tcPr>
            <w:tcW w:w="2520" w:type="dxa"/>
            <w:gridSpan w:val="3"/>
          </w:tcPr>
          <w:p w14:paraId="6A9C826C" w14:textId="77777777" w:rsidR="00F351DD" w:rsidRPr="0090237D" w:rsidRDefault="00F351DD" w:rsidP="00F351DD">
            <w:pPr>
              <w:jc w:val="right"/>
              <w:rPr>
                <w:rFonts w:ascii="Times New Roman" w:eastAsia="Times New Roman" w:hAnsi="Times New Roman" w:cs="Times New Roman"/>
                <w:b/>
                <w:color w:val="auto"/>
                <w:sz w:val="24"/>
                <w:szCs w:val="24"/>
              </w:rPr>
            </w:pPr>
            <w:r w:rsidRPr="0090237D">
              <w:rPr>
                <w:rFonts w:ascii="Calibri" w:hAnsi="Calibri"/>
                <w:color w:val="auto"/>
                <w:sz w:val="24"/>
                <w:szCs w:val="24"/>
              </w:rPr>
              <w:t>22 409,62 </w:t>
            </w:r>
            <w:r w:rsidRPr="0090237D">
              <w:rPr>
                <w:rFonts w:ascii="Times New Roman" w:hAnsi="Times New Roman"/>
                <w:color w:val="auto"/>
                <w:sz w:val="24"/>
                <w:szCs w:val="24"/>
              </w:rPr>
              <w:t>$</w:t>
            </w:r>
          </w:p>
        </w:tc>
      </w:tr>
      <w:tr w:rsidR="003B2947" w:rsidRPr="0090237D" w14:paraId="15433497" w14:textId="77777777" w:rsidTr="005E795E">
        <w:tc>
          <w:tcPr>
            <w:tcW w:w="3690" w:type="dxa"/>
          </w:tcPr>
          <w:p w14:paraId="03F8F421" w14:textId="77777777" w:rsidR="003B2947" w:rsidRPr="0090237D" w:rsidRDefault="003B2947" w:rsidP="003B2947">
            <w:pPr>
              <w:rPr>
                <w:rFonts w:ascii="Times New Roman" w:eastAsia="Times New Roman" w:hAnsi="Times New Roman" w:cs="Times New Roman"/>
                <w:b/>
                <w:color w:val="auto"/>
                <w:sz w:val="24"/>
                <w:szCs w:val="24"/>
                <w:lang w:eastAsia="en-US"/>
              </w:rPr>
            </w:pPr>
          </w:p>
        </w:tc>
        <w:tc>
          <w:tcPr>
            <w:tcW w:w="3211" w:type="dxa"/>
            <w:gridSpan w:val="7"/>
          </w:tcPr>
          <w:p w14:paraId="00BA426D" w14:textId="77777777" w:rsidR="003B2947" w:rsidRPr="0090237D" w:rsidRDefault="003B2947" w:rsidP="003B2947">
            <w:pPr>
              <w:rPr>
                <w:rFonts w:ascii="Times New Roman" w:eastAsia="Times New Roman" w:hAnsi="Times New Roman" w:cs="Times New Roman"/>
                <w:b/>
                <w:color w:val="auto"/>
                <w:sz w:val="24"/>
                <w:szCs w:val="24"/>
                <w:lang w:eastAsia="en-US"/>
              </w:rPr>
            </w:pPr>
          </w:p>
        </w:tc>
        <w:tc>
          <w:tcPr>
            <w:tcW w:w="2520" w:type="dxa"/>
            <w:gridSpan w:val="3"/>
          </w:tcPr>
          <w:p w14:paraId="0492F810" w14:textId="77777777" w:rsidR="003B2947" w:rsidRPr="0090237D" w:rsidRDefault="003B2947" w:rsidP="00F351DD">
            <w:pPr>
              <w:jc w:val="right"/>
              <w:rPr>
                <w:rFonts w:ascii="Times New Roman" w:eastAsia="Times New Roman" w:hAnsi="Times New Roman" w:cs="Times New Roman"/>
                <w:b/>
                <w:color w:val="auto"/>
                <w:sz w:val="24"/>
                <w:szCs w:val="24"/>
                <w:lang w:eastAsia="en-US"/>
              </w:rPr>
            </w:pPr>
          </w:p>
        </w:tc>
      </w:tr>
      <w:tr w:rsidR="003B2947" w:rsidRPr="0090237D" w14:paraId="3FDBC70C" w14:textId="77777777" w:rsidTr="005E795E">
        <w:tc>
          <w:tcPr>
            <w:tcW w:w="3690" w:type="dxa"/>
          </w:tcPr>
          <w:p w14:paraId="4E453B5C" w14:textId="11AF422B" w:rsidR="003341B8" w:rsidRPr="0090237D" w:rsidRDefault="00CB229F" w:rsidP="003B2947">
            <w:pPr>
              <w:rPr>
                <w:color w:val="auto"/>
              </w:rPr>
            </w:pPr>
            <w:r w:rsidRPr="0090237D">
              <w:rPr>
                <w:rFonts w:ascii="Times New Roman" w:hAnsi="Times New Roman"/>
                <w:b/>
                <w:color w:val="auto"/>
                <w:sz w:val="24"/>
                <w:szCs w:val="24"/>
              </w:rPr>
              <w:t>Actifs</w:t>
            </w:r>
          </w:p>
        </w:tc>
        <w:tc>
          <w:tcPr>
            <w:tcW w:w="3211" w:type="dxa"/>
            <w:gridSpan w:val="7"/>
          </w:tcPr>
          <w:p w14:paraId="51032353" w14:textId="77777777" w:rsidR="003B2947" w:rsidRPr="0090237D" w:rsidRDefault="003B2947" w:rsidP="00F351DD">
            <w:pPr>
              <w:jc w:val="right"/>
              <w:rPr>
                <w:rFonts w:ascii="Times New Roman" w:eastAsia="Times New Roman" w:hAnsi="Times New Roman" w:cs="Times New Roman"/>
                <w:b/>
                <w:color w:val="auto"/>
                <w:sz w:val="24"/>
                <w:szCs w:val="24"/>
                <w:lang w:eastAsia="en-US"/>
              </w:rPr>
            </w:pPr>
          </w:p>
        </w:tc>
        <w:tc>
          <w:tcPr>
            <w:tcW w:w="2520" w:type="dxa"/>
            <w:gridSpan w:val="3"/>
          </w:tcPr>
          <w:p w14:paraId="006F1095" w14:textId="77777777" w:rsidR="003B2947" w:rsidRPr="0090237D" w:rsidRDefault="003B2947" w:rsidP="00F351DD">
            <w:pPr>
              <w:jc w:val="right"/>
              <w:rPr>
                <w:rFonts w:ascii="Times New Roman" w:eastAsia="Times New Roman" w:hAnsi="Times New Roman" w:cs="Times New Roman"/>
                <w:b/>
                <w:color w:val="auto"/>
                <w:sz w:val="24"/>
                <w:szCs w:val="24"/>
                <w:lang w:eastAsia="en-US"/>
              </w:rPr>
            </w:pPr>
          </w:p>
        </w:tc>
      </w:tr>
      <w:tr w:rsidR="003B2947" w:rsidRPr="0090237D" w14:paraId="2EACEDE9" w14:textId="77777777" w:rsidTr="005E795E">
        <w:tc>
          <w:tcPr>
            <w:tcW w:w="3690" w:type="dxa"/>
          </w:tcPr>
          <w:p w14:paraId="6D6FE38F" w14:textId="540CD70D" w:rsidR="003341B8" w:rsidRPr="0090237D" w:rsidRDefault="00CB229F" w:rsidP="003B2947">
            <w:pPr>
              <w:rPr>
                <w:color w:val="auto"/>
              </w:rPr>
            </w:pPr>
            <w:r w:rsidRPr="0090237D">
              <w:rPr>
                <w:rFonts w:ascii="Times New Roman" w:hAnsi="Times New Roman"/>
                <w:color w:val="auto"/>
                <w:sz w:val="24"/>
                <w:szCs w:val="24"/>
              </w:rPr>
              <w:t>Adhésions</w:t>
            </w:r>
          </w:p>
        </w:tc>
        <w:tc>
          <w:tcPr>
            <w:tcW w:w="3211" w:type="dxa"/>
            <w:gridSpan w:val="7"/>
          </w:tcPr>
          <w:p w14:paraId="7879E633" w14:textId="77777777" w:rsidR="003B2947" w:rsidRPr="0090237D" w:rsidRDefault="00F351DD" w:rsidP="00F351DD">
            <w:pPr>
              <w:jc w:val="right"/>
              <w:rPr>
                <w:rFonts w:ascii="Times New Roman" w:eastAsia="Times New Roman" w:hAnsi="Times New Roman" w:cs="Times New Roman"/>
                <w:b/>
                <w:color w:val="auto"/>
                <w:sz w:val="24"/>
                <w:szCs w:val="24"/>
              </w:rPr>
            </w:pPr>
            <w:r w:rsidRPr="0090237D">
              <w:rPr>
                <w:rFonts w:ascii="Times New Roman" w:hAnsi="Times New Roman"/>
                <w:color w:val="auto"/>
                <w:sz w:val="24"/>
                <w:szCs w:val="24"/>
              </w:rPr>
              <w:t>2 290,00</w:t>
            </w:r>
          </w:p>
        </w:tc>
        <w:tc>
          <w:tcPr>
            <w:tcW w:w="2520" w:type="dxa"/>
            <w:gridSpan w:val="3"/>
          </w:tcPr>
          <w:p w14:paraId="7781191A" w14:textId="77777777" w:rsidR="003B2947" w:rsidRPr="0090237D" w:rsidRDefault="003B2947" w:rsidP="00F351DD">
            <w:pPr>
              <w:jc w:val="right"/>
              <w:rPr>
                <w:rFonts w:ascii="Times New Roman" w:eastAsia="Times New Roman" w:hAnsi="Times New Roman" w:cs="Times New Roman"/>
                <w:b/>
                <w:color w:val="auto"/>
                <w:sz w:val="24"/>
                <w:szCs w:val="24"/>
                <w:lang w:eastAsia="en-US"/>
              </w:rPr>
            </w:pPr>
          </w:p>
        </w:tc>
      </w:tr>
      <w:tr w:rsidR="003B2947" w:rsidRPr="0090237D" w14:paraId="28A305B2" w14:textId="77777777" w:rsidTr="005E795E">
        <w:tc>
          <w:tcPr>
            <w:tcW w:w="3690" w:type="dxa"/>
          </w:tcPr>
          <w:p w14:paraId="3B2FDA0A" w14:textId="6643E03B" w:rsidR="003B2947" w:rsidRPr="0090237D" w:rsidRDefault="00CB229F" w:rsidP="003B2947">
            <w:pPr>
              <w:rPr>
                <w:rFonts w:ascii="Times New Roman" w:eastAsia="Times New Roman" w:hAnsi="Times New Roman" w:cs="Times New Roman"/>
                <w:b/>
                <w:color w:val="auto"/>
                <w:sz w:val="24"/>
                <w:szCs w:val="24"/>
              </w:rPr>
            </w:pPr>
            <w:r w:rsidRPr="0090237D">
              <w:rPr>
                <w:rFonts w:ascii="Times New Roman" w:hAnsi="Times New Roman"/>
                <w:color w:val="auto"/>
                <w:sz w:val="24"/>
                <w:szCs w:val="24"/>
              </w:rPr>
              <w:t>Ventes de publications</w:t>
            </w:r>
          </w:p>
        </w:tc>
        <w:tc>
          <w:tcPr>
            <w:tcW w:w="3211" w:type="dxa"/>
            <w:gridSpan w:val="7"/>
          </w:tcPr>
          <w:p w14:paraId="35CC75AB" w14:textId="77777777" w:rsidR="003B2947" w:rsidRPr="0090237D" w:rsidRDefault="00F351DD" w:rsidP="00F351DD">
            <w:pPr>
              <w:jc w:val="right"/>
              <w:rPr>
                <w:rFonts w:ascii="Times New Roman" w:eastAsia="Times New Roman" w:hAnsi="Times New Roman" w:cs="Times New Roman"/>
                <w:b/>
                <w:color w:val="auto"/>
                <w:sz w:val="24"/>
                <w:szCs w:val="24"/>
              </w:rPr>
            </w:pPr>
            <w:r w:rsidRPr="0090237D">
              <w:rPr>
                <w:rFonts w:ascii="Times New Roman" w:hAnsi="Times New Roman"/>
                <w:color w:val="auto"/>
                <w:sz w:val="24"/>
                <w:szCs w:val="24"/>
              </w:rPr>
              <w:t>0,00</w:t>
            </w:r>
          </w:p>
        </w:tc>
        <w:tc>
          <w:tcPr>
            <w:tcW w:w="2520" w:type="dxa"/>
            <w:gridSpan w:val="3"/>
          </w:tcPr>
          <w:p w14:paraId="7FCAF842" w14:textId="77777777" w:rsidR="003B2947" w:rsidRPr="0090237D" w:rsidRDefault="003B2947" w:rsidP="00F351DD">
            <w:pPr>
              <w:jc w:val="right"/>
              <w:rPr>
                <w:rFonts w:ascii="Times New Roman" w:eastAsia="Times New Roman" w:hAnsi="Times New Roman" w:cs="Times New Roman"/>
                <w:b/>
                <w:color w:val="auto"/>
                <w:sz w:val="24"/>
                <w:szCs w:val="24"/>
                <w:lang w:eastAsia="en-US"/>
              </w:rPr>
            </w:pPr>
          </w:p>
        </w:tc>
      </w:tr>
      <w:tr w:rsidR="003B2947" w:rsidRPr="0090237D" w14:paraId="1DFE2A86" w14:textId="77777777" w:rsidTr="005E795E">
        <w:tc>
          <w:tcPr>
            <w:tcW w:w="3690" w:type="dxa"/>
          </w:tcPr>
          <w:p w14:paraId="111E521D" w14:textId="77777777" w:rsidR="003B2947" w:rsidRPr="0090237D" w:rsidRDefault="003B2947" w:rsidP="003B2947">
            <w:pPr>
              <w:rPr>
                <w:rFonts w:ascii="Times New Roman" w:eastAsia="Times New Roman" w:hAnsi="Times New Roman" w:cs="Times New Roman"/>
                <w:b/>
                <w:color w:val="auto"/>
                <w:sz w:val="24"/>
                <w:szCs w:val="24"/>
                <w:lang w:eastAsia="en-US"/>
              </w:rPr>
            </w:pPr>
          </w:p>
        </w:tc>
        <w:tc>
          <w:tcPr>
            <w:tcW w:w="3211" w:type="dxa"/>
            <w:gridSpan w:val="7"/>
          </w:tcPr>
          <w:p w14:paraId="5340CAD9" w14:textId="77777777" w:rsidR="003B2947" w:rsidRPr="0090237D" w:rsidRDefault="003B2947" w:rsidP="00F351DD">
            <w:pPr>
              <w:jc w:val="right"/>
              <w:rPr>
                <w:rFonts w:ascii="Times New Roman" w:eastAsia="Times New Roman" w:hAnsi="Times New Roman" w:cs="Times New Roman"/>
                <w:b/>
                <w:color w:val="auto"/>
                <w:sz w:val="24"/>
                <w:szCs w:val="24"/>
                <w:lang w:eastAsia="en-US"/>
              </w:rPr>
            </w:pPr>
          </w:p>
        </w:tc>
        <w:tc>
          <w:tcPr>
            <w:tcW w:w="2520" w:type="dxa"/>
            <w:gridSpan w:val="3"/>
          </w:tcPr>
          <w:p w14:paraId="77B2B607" w14:textId="77777777" w:rsidR="003B2947" w:rsidRPr="0090237D" w:rsidRDefault="003B2947" w:rsidP="00F351DD">
            <w:pPr>
              <w:jc w:val="right"/>
              <w:rPr>
                <w:rFonts w:ascii="Times New Roman" w:eastAsia="Times New Roman" w:hAnsi="Times New Roman" w:cs="Times New Roman"/>
                <w:b/>
                <w:color w:val="auto"/>
                <w:sz w:val="24"/>
                <w:szCs w:val="24"/>
                <w:lang w:eastAsia="en-US"/>
              </w:rPr>
            </w:pPr>
          </w:p>
        </w:tc>
      </w:tr>
      <w:tr w:rsidR="003B2947" w:rsidRPr="0090237D" w14:paraId="6B858786" w14:textId="77777777" w:rsidTr="005E795E">
        <w:tc>
          <w:tcPr>
            <w:tcW w:w="3690" w:type="dxa"/>
          </w:tcPr>
          <w:p w14:paraId="3AB21372" w14:textId="7D114887" w:rsidR="003341B8" w:rsidRPr="0090237D" w:rsidRDefault="00CB229F" w:rsidP="003B2947">
            <w:pPr>
              <w:rPr>
                <w:color w:val="auto"/>
              </w:rPr>
            </w:pPr>
            <w:r w:rsidRPr="0090237D">
              <w:rPr>
                <w:rFonts w:ascii="Times New Roman" w:hAnsi="Times New Roman"/>
                <w:color w:val="auto"/>
                <w:sz w:val="24"/>
                <w:szCs w:val="24"/>
              </w:rPr>
              <w:t>Subvention provinciale</w:t>
            </w:r>
          </w:p>
        </w:tc>
        <w:tc>
          <w:tcPr>
            <w:tcW w:w="3211" w:type="dxa"/>
            <w:gridSpan w:val="7"/>
          </w:tcPr>
          <w:p w14:paraId="5CA0E22A" w14:textId="77777777" w:rsidR="003B2947" w:rsidRPr="0090237D" w:rsidRDefault="00F351DD" w:rsidP="00F351DD">
            <w:pPr>
              <w:jc w:val="right"/>
              <w:rPr>
                <w:rFonts w:ascii="Times New Roman" w:eastAsia="Times New Roman" w:hAnsi="Times New Roman" w:cs="Times New Roman"/>
                <w:b/>
                <w:color w:val="auto"/>
                <w:sz w:val="24"/>
                <w:szCs w:val="24"/>
              </w:rPr>
            </w:pPr>
            <w:r w:rsidRPr="0090237D">
              <w:rPr>
                <w:rFonts w:ascii="Times New Roman" w:hAnsi="Times New Roman"/>
                <w:color w:val="auto"/>
                <w:sz w:val="24"/>
                <w:szCs w:val="24"/>
              </w:rPr>
              <w:t>85 000,00</w:t>
            </w:r>
          </w:p>
        </w:tc>
        <w:tc>
          <w:tcPr>
            <w:tcW w:w="2520" w:type="dxa"/>
            <w:gridSpan w:val="3"/>
          </w:tcPr>
          <w:p w14:paraId="231158B9" w14:textId="77777777" w:rsidR="003B2947" w:rsidRPr="0090237D" w:rsidRDefault="00F351DD" w:rsidP="00F351DD">
            <w:pPr>
              <w:jc w:val="right"/>
              <w:rPr>
                <w:rFonts w:ascii="Times New Roman" w:eastAsia="Times New Roman" w:hAnsi="Times New Roman" w:cs="Times New Roman"/>
                <w:b/>
                <w:color w:val="auto"/>
                <w:sz w:val="24"/>
                <w:szCs w:val="24"/>
              </w:rPr>
            </w:pPr>
            <w:r w:rsidRPr="0090237D">
              <w:rPr>
                <w:rFonts w:ascii="Times New Roman" w:hAnsi="Times New Roman"/>
                <w:color w:val="auto"/>
                <w:sz w:val="24"/>
                <w:szCs w:val="24"/>
              </w:rPr>
              <w:t>87 290,00</w:t>
            </w:r>
          </w:p>
        </w:tc>
      </w:tr>
      <w:tr w:rsidR="003B2947" w:rsidRPr="0090237D" w14:paraId="618E66E9" w14:textId="77777777" w:rsidTr="005E795E">
        <w:tc>
          <w:tcPr>
            <w:tcW w:w="3690" w:type="dxa"/>
          </w:tcPr>
          <w:p w14:paraId="7CAD031B" w14:textId="77777777" w:rsidR="003B2947" w:rsidRPr="0090237D" w:rsidRDefault="003B2947" w:rsidP="003B2947">
            <w:pPr>
              <w:rPr>
                <w:rFonts w:ascii="Times New Roman" w:eastAsia="Times New Roman" w:hAnsi="Times New Roman" w:cs="Times New Roman"/>
                <w:b/>
                <w:color w:val="auto"/>
                <w:sz w:val="24"/>
                <w:szCs w:val="24"/>
                <w:lang w:eastAsia="en-US"/>
              </w:rPr>
            </w:pPr>
          </w:p>
        </w:tc>
        <w:tc>
          <w:tcPr>
            <w:tcW w:w="3211" w:type="dxa"/>
            <w:gridSpan w:val="7"/>
          </w:tcPr>
          <w:p w14:paraId="145D2483" w14:textId="77777777" w:rsidR="003B2947" w:rsidRPr="0090237D" w:rsidRDefault="003B2947" w:rsidP="00F351DD">
            <w:pPr>
              <w:jc w:val="right"/>
              <w:rPr>
                <w:rFonts w:ascii="Times New Roman" w:eastAsia="Times New Roman" w:hAnsi="Times New Roman" w:cs="Times New Roman"/>
                <w:b/>
                <w:color w:val="auto"/>
                <w:sz w:val="24"/>
                <w:szCs w:val="24"/>
                <w:lang w:eastAsia="en-US"/>
              </w:rPr>
            </w:pPr>
          </w:p>
        </w:tc>
        <w:tc>
          <w:tcPr>
            <w:tcW w:w="2520" w:type="dxa"/>
            <w:gridSpan w:val="3"/>
          </w:tcPr>
          <w:p w14:paraId="544E7940" w14:textId="77777777" w:rsidR="003B2947" w:rsidRPr="0090237D" w:rsidRDefault="003B2947" w:rsidP="00F351DD">
            <w:pPr>
              <w:jc w:val="right"/>
              <w:rPr>
                <w:rFonts w:ascii="Times New Roman" w:eastAsia="Times New Roman" w:hAnsi="Times New Roman" w:cs="Times New Roman"/>
                <w:b/>
                <w:color w:val="auto"/>
                <w:sz w:val="24"/>
                <w:szCs w:val="24"/>
                <w:lang w:eastAsia="en-US"/>
              </w:rPr>
            </w:pPr>
          </w:p>
        </w:tc>
      </w:tr>
      <w:tr w:rsidR="003B2947" w:rsidRPr="0090237D" w14:paraId="4FF2299C" w14:textId="77777777" w:rsidTr="005E795E">
        <w:tc>
          <w:tcPr>
            <w:tcW w:w="3690" w:type="dxa"/>
          </w:tcPr>
          <w:p w14:paraId="2F0EF09B" w14:textId="77777777" w:rsidR="003B2947" w:rsidRPr="0090237D" w:rsidRDefault="003B2947" w:rsidP="003B2947">
            <w:pPr>
              <w:rPr>
                <w:rFonts w:ascii="Times New Roman" w:eastAsia="Times New Roman" w:hAnsi="Times New Roman" w:cs="Times New Roman"/>
                <w:b/>
                <w:color w:val="auto"/>
                <w:sz w:val="24"/>
                <w:szCs w:val="24"/>
                <w:lang w:eastAsia="en-US"/>
              </w:rPr>
            </w:pPr>
          </w:p>
        </w:tc>
        <w:tc>
          <w:tcPr>
            <w:tcW w:w="3211" w:type="dxa"/>
            <w:gridSpan w:val="7"/>
          </w:tcPr>
          <w:p w14:paraId="6B313CBA" w14:textId="77777777" w:rsidR="003B2947" w:rsidRPr="0090237D" w:rsidRDefault="003B2947" w:rsidP="00F351DD">
            <w:pPr>
              <w:jc w:val="right"/>
              <w:rPr>
                <w:rFonts w:ascii="Times New Roman" w:eastAsia="Times New Roman" w:hAnsi="Times New Roman" w:cs="Times New Roman"/>
                <w:b/>
                <w:color w:val="auto"/>
                <w:sz w:val="24"/>
                <w:szCs w:val="24"/>
                <w:lang w:eastAsia="en-US"/>
              </w:rPr>
            </w:pPr>
          </w:p>
        </w:tc>
        <w:tc>
          <w:tcPr>
            <w:tcW w:w="2520" w:type="dxa"/>
            <w:gridSpan w:val="3"/>
          </w:tcPr>
          <w:p w14:paraId="5AF3A447" w14:textId="77777777" w:rsidR="003B2947" w:rsidRPr="0090237D" w:rsidRDefault="00F351DD" w:rsidP="00F351DD">
            <w:pPr>
              <w:jc w:val="right"/>
              <w:rPr>
                <w:rFonts w:ascii="Times New Roman" w:eastAsia="Times New Roman" w:hAnsi="Times New Roman" w:cs="Times New Roman"/>
                <w:b/>
                <w:color w:val="auto"/>
                <w:sz w:val="24"/>
                <w:szCs w:val="24"/>
              </w:rPr>
            </w:pPr>
            <w:r w:rsidRPr="0090237D">
              <w:rPr>
                <w:rFonts w:ascii="Times New Roman" w:hAnsi="Times New Roman"/>
                <w:b/>
                <w:color w:val="auto"/>
                <w:sz w:val="24"/>
                <w:szCs w:val="24"/>
              </w:rPr>
              <w:t>109 699,62 $</w:t>
            </w:r>
          </w:p>
        </w:tc>
      </w:tr>
      <w:tr w:rsidR="00F351DD" w:rsidRPr="0090237D" w14:paraId="485A1809" w14:textId="77777777" w:rsidTr="005E795E">
        <w:tc>
          <w:tcPr>
            <w:tcW w:w="3690" w:type="dxa"/>
          </w:tcPr>
          <w:p w14:paraId="18331C24" w14:textId="77777777" w:rsidR="00F351DD" w:rsidRPr="0090237D" w:rsidRDefault="00F351DD" w:rsidP="003B2947">
            <w:pPr>
              <w:rPr>
                <w:rFonts w:ascii="Times New Roman" w:eastAsia="Times New Roman" w:hAnsi="Times New Roman" w:cs="Times New Roman"/>
                <w:b/>
                <w:color w:val="auto"/>
                <w:sz w:val="24"/>
                <w:szCs w:val="24"/>
                <w:lang w:eastAsia="en-US"/>
              </w:rPr>
            </w:pPr>
          </w:p>
        </w:tc>
        <w:tc>
          <w:tcPr>
            <w:tcW w:w="3211" w:type="dxa"/>
            <w:gridSpan w:val="7"/>
          </w:tcPr>
          <w:p w14:paraId="7BCB5C14" w14:textId="77777777" w:rsidR="00F351DD" w:rsidRPr="0090237D" w:rsidRDefault="00F351DD" w:rsidP="00F351DD">
            <w:pPr>
              <w:jc w:val="right"/>
              <w:rPr>
                <w:rFonts w:ascii="Times New Roman" w:eastAsia="Times New Roman" w:hAnsi="Times New Roman" w:cs="Times New Roman"/>
                <w:b/>
                <w:color w:val="auto"/>
                <w:sz w:val="24"/>
                <w:szCs w:val="24"/>
                <w:lang w:eastAsia="en-US"/>
              </w:rPr>
            </w:pPr>
          </w:p>
        </w:tc>
        <w:tc>
          <w:tcPr>
            <w:tcW w:w="2520" w:type="dxa"/>
            <w:gridSpan w:val="3"/>
          </w:tcPr>
          <w:p w14:paraId="439864A6" w14:textId="77777777" w:rsidR="00F351DD" w:rsidRPr="0090237D" w:rsidRDefault="00F351DD" w:rsidP="00F351DD">
            <w:pPr>
              <w:jc w:val="right"/>
              <w:rPr>
                <w:rFonts w:ascii="Times New Roman" w:eastAsia="Times New Roman" w:hAnsi="Times New Roman" w:cs="Times New Roman"/>
                <w:b/>
                <w:color w:val="auto"/>
                <w:sz w:val="24"/>
                <w:szCs w:val="24"/>
                <w:lang w:eastAsia="en-US"/>
              </w:rPr>
            </w:pPr>
          </w:p>
        </w:tc>
      </w:tr>
      <w:tr w:rsidR="00F351DD" w:rsidRPr="0090237D" w14:paraId="2799CA9D" w14:textId="77777777" w:rsidTr="005E795E">
        <w:tc>
          <w:tcPr>
            <w:tcW w:w="3690" w:type="dxa"/>
          </w:tcPr>
          <w:p w14:paraId="4358E20B" w14:textId="0AB1AD48" w:rsidR="003341B8" w:rsidRPr="0090237D" w:rsidRDefault="00CB229F" w:rsidP="003B2947">
            <w:pPr>
              <w:rPr>
                <w:color w:val="auto"/>
              </w:rPr>
            </w:pPr>
            <w:r w:rsidRPr="0090237D">
              <w:rPr>
                <w:rFonts w:ascii="Times New Roman" w:hAnsi="Times New Roman"/>
                <w:b/>
                <w:color w:val="auto"/>
                <w:sz w:val="24"/>
                <w:szCs w:val="24"/>
              </w:rPr>
              <w:t>Passifs</w:t>
            </w:r>
          </w:p>
        </w:tc>
        <w:tc>
          <w:tcPr>
            <w:tcW w:w="3211" w:type="dxa"/>
            <w:gridSpan w:val="7"/>
          </w:tcPr>
          <w:p w14:paraId="43E4927E" w14:textId="77777777" w:rsidR="00F351DD" w:rsidRPr="0090237D" w:rsidRDefault="00F351DD" w:rsidP="00F351DD">
            <w:pPr>
              <w:jc w:val="right"/>
              <w:rPr>
                <w:rFonts w:ascii="Times New Roman" w:eastAsia="Times New Roman" w:hAnsi="Times New Roman" w:cs="Times New Roman"/>
                <w:b/>
                <w:color w:val="auto"/>
                <w:sz w:val="24"/>
                <w:szCs w:val="24"/>
                <w:lang w:eastAsia="en-US"/>
              </w:rPr>
            </w:pPr>
          </w:p>
        </w:tc>
        <w:tc>
          <w:tcPr>
            <w:tcW w:w="2520" w:type="dxa"/>
            <w:gridSpan w:val="3"/>
          </w:tcPr>
          <w:p w14:paraId="32D4C517" w14:textId="77777777" w:rsidR="00F351DD" w:rsidRPr="0090237D" w:rsidRDefault="00F351DD" w:rsidP="00F351DD">
            <w:pPr>
              <w:jc w:val="right"/>
              <w:rPr>
                <w:rFonts w:ascii="Times New Roman" w:eastAsia="Times New Roman" w:hAnsi="Times New Roman" w:cs="Times New Roman"/>
                <w:b/>
                <w:color w:val="auto"/>
                <w:sz w:val="24"/>
                <w:szCs w:val="24"/>
                <w:lang w:eastAsia="en-US"/>
              </w:rPr>
            </w:pPr>
          </w:p>
        </w:tc>
      </w:tr>
      <w:tr w:rsidR="00B1091B" w:rsidRPr="0090237D" w14:paraId="4745EB4A" w14:textId="77777777" w:rsidTr="005E795E">
        <w:tc>
          <w:tcPr>
            <w:tcW w:w="6901" w:type="dxa"/>
            <w:gridSpan w:val="8"/>
          </w:tcPr>
          <w:p w14:paraId="51FEB8E8" w14:textId="64A5BF3C" w:rsidR="003341B8" w:rsidRPr="0090237D" w:rsidRDefault="00CB229F" w:rsidP="00B1091B">
            <w:pPr>
              <w:rPr>
                <w:color w:val="auto"/>
              </w:rPr>
            </w:pPr>
            <w:r w:rsidRPr="0090237D">
              <w:rPr>
                <w:rFonts w:ascii="Times New Roman" w:hAnsi="Times New Roman"/>
                <w:color w:val="auto"/>
                <w:sz w:val="24"/>
                <w:szCs w:val="24"/>
              </w:rPr>
              <w:t>Rajustements pour l’exercice financier 2018 :</w:t>
            </w:r>
          </w:p>
        </w:tc>
        <w:tc>
          <w:tcPr>
            <w:tcW w:w="2520" w:type="dxa"/>
            <w:gridSpan w:val="3"/>
          </w:tcPr>
          <w:p w14:paraId="34088E40" w14:textId="77777777" w:rsidR="00B1091B" w:rsidRPr="0090237D" w:rsidRDefault="00B1091B" w:rsidP="00F351DD">
            <w:pPr>
              <w:jc w:val="right"/>
              <w:rPr>
                <w:rFonts w:ascii="Times New Roman" w:eastAsia="Times New Roman" w:hAnsi="Times New Roman" w:cs="Times New Roman"/>
                <w:b/>
                <w:color w:val="auto"/>
                <w:sz w:val="24"/>
                <w:szCs w:val="24"/>
              </w:rPr>
            </w:pPr>
            <w:r w:rsidRPr="0090237D">
              <w:rPr>
                <w:rFonts w:ascii="Times New Roman" w:hAnsi="Times New Roman"/>
                <w:color w:val="auto"/>
                <w:sz w:val="24"/>
                <w:szCs w:val="24"/>
              </w:rPr>
              <w:t>3 319,34</w:t>
            </w:r>
          </w:p>
        </w:tc>
      </w:tr>
      <w:tr w:rsidR="00F351DD" w:rsidRPr="0090237D" w14:paraId="78A23BA6" w14:textId="77777777" w:rsidTr="005E795E">
        <w:tc>
          <w:tcPr>
            <w:tcW w:w="3690" w:type="dxa"/>
          </w:tcPr>
          <w:p w14:paraId="60605F01" w14:textId="77777777" w:rsidR="00F351DD" w:rsidRPr="0090237D" w:rsidRDefault="00F351DD" w:rsidP="003B2947">
            <w:pPr>
              <w:rPr>
                <w:rFonts w:ascii="Times New Roman" w:eastAsia="Times New Roman" w:hAnsi="Times New Roman" w:cs="Times New Roman"/>
                <w:b/>
                <w:color w:val="auto"/>
                <w:sz w:val="24"/>
                <w:szCs w:val="24"/>
                <w:lang w:eastAsia="en-US"/>
              </w:rPr>
            </w:pPr>
          </w:p>
        </w:tc>
        <w:tc>
          <w:tcPr>
            <w:tcW w:w="3211" w:type="dxa"/>
            <w:gridSpan w:val="7"/>
          </w:tcPr>
          <w:p w14:paraId="6C29A37E" w14:textId="77777777" w:rsidR="00F351DD" w:rsidRPr="0090237D" w:rsidRDefault="00F351DD" w:rsidP="00F351DD">
            <w:pPr>
              <w:jc w:val="right"/>
              <w:rPr>
                <w:rFonts w:ascii="Times New Roman" w:eastAsia="Times New Roman" w:hAnsi="Times New Roman" w:cs="Times New Roman"/>
                <w:b/>
                <w:color w:val="auto"/>
                <w:sz w:val="24"/>
                <w:szCs w:val="24"/>
                <w:lang w:eastAsia="en-US"/>
              </w:rPr>
            </w:pPr>
          </w:p>
        </w:tc>
        <w:tc>
          <w:tcPr>
            <w:tcW w:w="2520" w:type="dxa"/>
            <w:gridSpan w:val="3"/>
          </w:tcPr>
          <w:p w14:paraId="14721BD3" w14:textId="77777777" w:rsidR="00F351DD" w:rsidRPr="0090237D" w:rsidRDefault="00F351DD" w:rsidP="00F351DD">
            <w:pPr>
              <w:jc w:val="right"/>
              <w:rPr>
                <w:rFonts w:ascii="Times New Roman" w:eastAsia="Times New Roman" w:hAnsi="Times New Roman" w:cs="Times New Roman"/>
                <w:b/>
                <w:color w:val="auto"/>
                <w:sz w:val="24"/>
                <w:szCs w:val="24"/>
                <w:lang w:eastAsia="en-US"/>
              </w:rPr>
            </w:pPr>
          </w:p>
        </w:tc>
      </w:tr>
      <w:tr w:rsidR="00F351DD" w:rsidRPr="0090237D" w14:paraId="4F0F8944" w14:textId="77777777" w:rsidTr="005E795E">
        <w:tc>
          <w:tcPr>
            <w:tcW w:w="3690" w:type="dxa"/>
          </w:tcPr>
          <w:p w14:paraId="02D752E2" w14:textId="36C11BA0" w:rsidR="00977343" w:rsidRPr="0090237D" w:rsidRDefault="00CB229F" w:rsidP="003B2947">
            <w:pPr>
              <w:rPr>
                <w:color w:val="auto"/>
              </w:rPr>
            </w:pPr>
            <w:r w:rsidRPr="0090237D">
              <w:rPr>
                <w:rFonts w:ascii="Times New Roman" w:hAnsi="Times New Roman"/>
                <w:color w:val="auto"/>
                <w:sz w:val="24"/>
                <w:szCs w:val="24"/>
              </w:rPr>
              <w:t>Frais de services bancaires :</w:t>
            </w:r>
          </w:p>
        </w:tc>
        <w:tc>
          <w:tcPr>
            <w:tcW w:w="3211" w:type="dxa"/>
            <w:gridSpan w:val="7"/>
          </w:tcPr>
          <w:p w14:paraId="19935A15" w14:textId="77777777" w:rsidR="00F351DD" w:rsidRPr="0090237D" w:rsidRDefault="00F351DD" w:rsidP="00F351DD">
            <w:pPr>
              <w:jc w:val="right"/>
              <w:rPr>
                <w:rFonts w:ascii="Times New Roman" w:eastAsia="Times New Roman" w:hAnsi="Times New Roman" w:cs="Times New Roman"/>
                <w:b/>
                <w:color w:val="auto"/>
                <w:sz w:val="24"/>
                <w:szCs w:val="24"/>
                <w:lang w:eastAsia="en-US"/>
              </w:rPr>
            </w:pPr>
          </w:p>
        </w:tc>
        <w:tc>
          <w:tcPr>
            <w:tcW w:w="2520" w:type="dxa"/>
            <w:gridSpan w:val="3"/>
          </w:tcPr>
          <w:p w14:paraId="44F39107" w14:textId="77777777" w:rsidR="00F351DD" w:rsidRPr="0090237D" w:rsidRDefault="00B1091B" w:rsidP="00F351DD">
            <w:pPr>
              <w:jc w:val="right"/>
              <w:rPr>
                <w:rFonts w:ascii="Times New Roman" w:eastAsia="Times New Roman" w:hAnsi="Times New Roman" w:cs="Times New Roman"/>
                <w:b/>
                <w:color w:val="auto"/>
                <w:sz w:val="24"/>
                <w:szCs w:val="24"/>
              </w:rPr>
            </w:pPr>
            <w:r w:rsidRPr="0090237D">
              <w:rPr>
                <w:rFonts w:ascii="Times New Roman" w:hAnsi="Times New Roman"/>
                <w:color w:val="auto"/>
                <w:sz w:val="24"/>
                <w:szCs w:val="24"/>
              </w:rPr>
              <w:t>1,50</w:t>
            </w:r>
          </w:p>
        </w:tc>
      </w:tr>
      <w:tr w:rsidR="00B1091B" w:rsidRPr="0090237D" w14:paraId="3EC67CE4" w14:textId="77777777" w:rsidTr="005E795E">
        <w:tc>
          <w:tcPr>
            <w:tcW w:w="3690" w:type="dxa"/>
          </w:tcPr>
          <w:p w14:paraId="2211D9BC" w14:textId="77777777" w:rsidR="00B1091B" w:rsidRPr="0090237D" w:rsidRDefault="00B1091B" w:rsidP="003B2947">
            <w:pPr>
              <w:rPr>
                <w:rFonts w:ascii="Times New Roman" w:eastAsia="Times New Roman" w:hAnsi="Times New Roman" w:cs="Times New Roman"/>
                <w:color w:val="auto"/>
                <w:sz w:val="24"/>
                <w:szCs w:val="24"/>
                <w:lang w:eastAsia="en-US"/>
              </w:rPr>
            </w:pPr>
          </w:p>
        </w:tc>
        <w:tc>
          <w:tcPr>
            <w:tcW w:w="3211" w:type="dxa"/>
            <w:gridSpan w:val="7"/>
          </w:tcPr>
          <w:p w14:paraId="21DAC795" w14:textId="77777777" w:rsidR="00B1091B" w:rsidRPr="0090237D" w:rsidRDefault="00B1091B" w:rsidP="00F351DD">
            <w:pPr>
              <w:jc w:val="right"/>
              <w:rPr>
                <w:rFonts w:ascii="Times New Roman" w:eastAsia="Times New Roman" w:hAnsi="Times New Roman" w:cs="Times New Roman"/>
                <w:b/>
                <w:color w:val="auto"/>
                <w:sz w:val="24"/>
                <w:szCs w:val="24"/>
                <w:lang w:eastAsia="en-US"/>
              </w:rPr>
            </w:pPr>
          </w:p>
        </w:tc>
        <w:tc>
          <w:tcPr>
            <w:tcW w:w="2520" w:type="dxa"/>
            <w:gridSpan w:val="3"/>
          </w:tcPr>
          <w:p w14:paraId="61276124" w14:textId="77777777" w:rsidR="00B1091B" w:rsidRPr="0090237D" w:rsidRDefault="00B1091B" w:rsidP="00F351DD">
            <w:pPr>
              <w:jc w:val="right"/>
              <w:rPr>
                <w:rFonts w:ascii="Times New Roman" w:eastAsia="Times New Roman" w:hAnsi="Times New Roman" w:cs="Times New Roman"/>
                <w:color w:val="auto"/>
                <w:sz w:val="24"/>
                <w:szCs w:val="24"/>
                <w:lang w:eastAsia="en-US"/>
              </w:rPr>
            </w:pPr>
          </w:p>
        </w:tc>
      </w:tr>
      <w:tr w:rsidR="00B1091B" w:rsidRPr="0090237D" w14:paraId="0D45F65B" w14:textId="77777777" w:rsidTr="005E795E">
        <w:tc>
          <w:tcPr>
            <w:tcW w:w="3690" w:type="dxa"/>
          </w:tcPr>
          <w:p w14:paraId="5FB2165C" w14:textId="6406BEB3" w:rsidR="00977343" w:rsidRPr="0090237D" w:rsidRDefault="00CB229F" w:rsidP="003B2947">
            <w:pPr>
              <w:rPr>
                <w:color w:val="auto"/>
              </w:rPr>
            </w:pPr>
            <w:r w:rsidRPr="0090237D">
              <w:rPr>
                <w:rFonts w:ascii="Times New Roman" w:hAnsi="Times New Roman"/>
                <w:i/>
                <w:color w:val="auto"/>
                <w:sz w:val="24"/>
                <w:szCs w:val="24"/>
              </w:rPr>
              <w:t>CONSEILLÈRE EN ARCHIVISTIQUE</w:t>
            </w:r>
          </w:p>
        </w:tc>
        <w:tc>
          <w:tcPr>
            <w:tcW w:w="3211" w:type="dxa"/>
            <w:gridSpan w:val="7"/>
          </w:tcPr>
          <w:p w14:paraId="4E10B7F7" w14:textId="77777777" w:rsidR="00B1091B" w:rsidRPr="0090237D" w:rsidRDefault="00B1091B" w:rsidP="00F351DD">
            <w:pPr>
              <w:jc w:val="right"/>
              <w:rPr>
                <w:rFonts w:ascii="Times New Roman" w:eastAsia="Times New Roman" w:hAnsi="Times New Roman" w:cs="Times New Roman"/>
                <w:b/>
                <w:color w:val="auto"/>
                <w:sz w:val="24"/>
                <w:szCs w:val="24"/>
                <w:lang w:eastAsia="en-US"/>
              </w:rPr>
            </w:pPr>
          </w:p>
        </w:tc>
        <w:tc>
          <w:tcPr>
            <w:tcW w:w="2520" w:type="dxa"/>
            <w:gridSpan w:val="3"/>
          </w:tcPr>
          <w:p w14:paraId="726E51D3" w14:textId="77777777" w:rsidR="00B1091B" w:rsidRPr="0090237D" w:rsidRDefault="00B1091B" w:rsidP="00F351DD">
            <w:pPr>
              <w:jc w:val="right"/>
              <w:rPr>
                <w:rFonts w:ascii="Times New Roman" w:eastAsia="Times New Roman" w:hAnsi="Times New Roman" w:cs="Times New Roman"/>
                <w:color w:val="auto"/>
                <w:sz w:val="24"/>
                <w:szCs w:val="24"/>
                <w:lang w:eastAsia="en-US"/>
              </w:rPr>
            </w:pPr>
          </w:p>
        </w:tc>
      </w:tr>
      <w:tr w:rsidR="00B1091B" w:rsidRPr="0090237D" w14:paraId="27D7A6AA" w14:textId="77777777" w:rsidTr="005E795E">
        <w:tc>
          <w:tcPr>
            <w:tcW w:w="3690" w:type="dxa"/>
          </w:tcPr>
          <w:p w14:paraId="5008A759" w14:textId="4EA5285A" w:rsidR="00977343" w:rsidRPr="0090237D" w:rsidRDefault="00CB229F" w:rsidP="00B1091B">
            <w:pPr>
              <w:pStyle w:val="Paragraphedeliste"/>
              <w:numPr>
                <w:ilvl w:val="0"/>
                <w:numId w:val="30"/>
              </w:numPr>
              <w:spacing w:line="240" w:lineRule="auto"/>
              <w:ind w:left="617"/>
            </w:pPr>
            <w:r w:rsidRPr="0090237D">
              <w:rPr>
                <w:rFonts w:ascii="Calibri" w:hAnsi="Calibri"/>
                <w:sz w:val="24"/>
                <w:szCs w:val="24"/>
              </w:rPr>
              <w:t>Visites sur place</w:t>
            </w:r>
          </w:p>
        </w:tc>
        <w:tc>
          <w:tcPr>
            <w:tcW w:w="2491" w:type="dxa"/>
            <w:gridSpan w:val="4"/>
          </w:tcPr>
          <w:p w14:paraId="7708D433" w14:textId="77777777" w:rsidR="00B1091B" w:rsidRPr="0090237D" w:rsidRDefault="00B1091B" w:rsidP="00F351DD">
            <w:pPr>
              <w:jc w:val="right"/>
              <w:rPr>
                <w:rFonts w:ascii="Times New Roman" w:eastAsia="Times New Roman" w:hAnsi="Times New Roman" w:cs="Times New Roman"/>
                <w:b/>
                <w:color w:val="auto"/>
                <w:sz w:val="24"/>
                <w:szCs w:val="24"/>
              </w:rPr>
            </w:pPr>
            <w:r w:rsidRPr="0090237D">
              <w:rPr>
                <w:rFonts w:ascii="Calibri" w:hAnsi="Calibri"/>
                <w:color w:val="auto"/>
                <w:sz w:val="24"/>
                <w:szCs w:val="24"/>
              </w:rPr>
              <w:t>1 371,72</w:t>
            </w:r>
          </w:p>
        </w:tc>
        <w:tc>
          <w:tcPr>
            <w:tcW w:w="3240" w:type="dxa"/>
            <w:gridSpan w:val="6"/>
          </w:tcPr>
          <w:p w14:paraId="28C1A4AF" w14:textId="77777777" w:rsidR="00B1091B" w:rsidRPr="0090237D" w:rsidRDefault="00B1091B" w:rsidP="00F351DD">
            <w:pPr>
              <w:jc w:val="right"/>
              <w:rPr>
                <w:rFonts w:ascii="Times New Roman" w:eastAsia="Times New Roman" w:hAnsi="Times New Roman" w:cs="Times New Roman"/>
                <w:color w:val="auto"/>
                <w:sz w:val="24"/>
                <w:szCs w:val="24"/>
                <w:lang w:eastAsia="en-US"/>
              </w:rPr>
            </w:pPr>
          </w:p>
        </w:tc>
      </w:tr>
      <w:tr w:rsidR="00B1091B" w:rsidRPr="0090237D" w14:paraId="3BB7388D" w14:textId="77777777" w:rsidTr="005E795E">
        <w:tc>
          <w:tcPr>
            <w:tcW w:w="4950" w:type="dxa"/>
            <w:gridSpan w:val="2"/>
          </w:tcPr>
          <w:p w14:paraId="1721A07A" w14:textId="7146AE14" w:rsidR="00B1091B" w:rsidRPr="0090237D" w:rsidRDefault="00CB229F" w:rsidP="00B1091B">
            <w:pPr>
              <w:pStyle w:val="Paragraphedeliste"/>
              <w:numPr>
                <w:ilvl w:val="0"/>
                <w:numId w:val="30"/>
              </w:numPr>
              <w:spacing w:line="240" w:lineRule="auto"/>
              <w:ind w:left="617"/>
              <w:rPr>
                <w:rFonts w:ascii="Times New Roman" w:eastAsia="Times New Roman" w:hAnsi="Times New Roman" w:cs="Times New Roman"/>
                <w:sz w:val="24"/>
                <w:szCs w:val="24"/>
              </w:rPr>
            </w:pPr>
            <w:r w:rsidRPr="0090237D">
              <w:rPr>
                <w:rFonts w:ascii="Calibri" w:hAnsi="Calibri"/>
                <w:sz w:val="24"/>
                <w:szCs w:val="24"/>
              </w:rPr>
              <w:t>Perfectionnement professionnel</w:t>
            </w:r>
          </w:p>
        </w:tc>
        <w:tc>
          <w:tcPr>
            <w:tcW w:w="1231" w:type="dxa"/>
            <w:gridSpan w:val="3"/>
          </w:tcPr>
          <w:p w14:paraId="00161E33" w14:textId="77777777" w:rsidR="00B1091B" w:rsidRPr="0090237D" w:rsidRDefault="00B1091B" w:rsidP="00F351DD">
            <w:pPr>
              <w:jc w:val="right"/>
              <w:rPr>
                <w:rFonts w:ascii="Times New Roman" w:eastAsia="Times New Roman" w:hAnsi="Times New Roman" w:cs="Times New Roman"/>
                <w:b/>
                <w:color w:val="auto"/>
                <w:sz w:val="24"/>
                <w:szCs w:val="24"/>
              </w:rPr>
            </w:pPr>
            <w:r w:rsidRPr="0090237D">
              <w:rPr>
                <w:rFonts w:ascii="Calibri" w:hAnsi="Calibri"/>
                <w:color w:val="auto"/>
                <w:sz w:val="24"/>
                <w:szCs w:val="24"/>
              </w:rPr>
              <w:t>1 670,34</w:t>
            </w:r>
          </w:p>
        </w:tc>
        <w:tc>
          <w:tcPr>
            <w:tcW w:w="3240" w:type="dxa"/>
            <w:gridSpan w:val="6"/>
          </w:tcPr>
          <w:p w14:paraId="6B912EA4" w14:textId="77777777" w:rsidR="00B1091B" w:rsidRPr="0090237D" w:rsidRDefault="00B1091B" w:rsidP="00F351DD">
            <w:pPr>
              <w:jc w:val="right"/>
              <w:rPr>
                <w:rFonts w:ascii="Times New Roman" w:eastAsia="Times New Roman" w:hAnsi="Times New Roman" w:cs="Times New Roman"/>
                <w:color w:val="auto"/>
                <w:sz w:val="24"/>
                <w:szCs w:val="24"/>
              </w:rPr>
            </w:pPr>
            <w:r w:rsidRPr="0090237D">
              <w:rPr>
                <w:rFonts w:ascii="Calibri" w:hAnsi="Calibri"/>
                <w:color w:val="auto"/>
                <w:sz w:val="24"/>
                <w:szCs w:val="24"/>
              </w:rPr>
              <w:t>3 042,06</w:t>
            </w:r>
          </w:p>
        </w:tc>
      </w:tr>
      <w:tr w:rsidR="00B1091B" w:rsidRPr="0090237D" w14:paraId="63B89908" w14:textId="77777777" w:rsidTr="005E795E">
        <w:tc>
          <w:tcPr>
            <w:tcW w:w="3690" w:type="dxa"/>
          </w:tcPr>
          <w:p w14:paraId="7F013AC8" w14:textId="77777777" w:rsidR="00B1091B" w:rsidRPr="0090237D" w:rsidRDefault="00B1091B" w:rsidP="003B2947">
            <w:pPr>
              <w:rPr>
                <w:rFonts w:ascii="Times New Roman" w:eastAsia="Times New Roman" w:hAnsi="Times New Roman" w:cs="Times New Roman"/>
                <w:color w:val="auto"/>
                <w:sz w:val="24"/>
                <w:szCs w:val="24"/>
                <w:lang w:eastAsia="en-US"/>
              </w:rPr>
            </w:pPr>
          </w:p>
        </w:tc>
        <w:tc>
          <w:tcPr>
            <w:tcW w:w="2941" w:type="dxa"/>
            <w:gridSpan w:val="6"/>
          </w:tcPr>
          <w:p w14:paraId="6D390862" w14:textId="77777777" w:rsidR="00B1091B" w:rsidRPr="0090237D" w:rsidRDefault="00B1091B" w:rsidP="00F351DD">
            <w:pPr>
              <w:jc w:val="right"/>
              <w:rPr>
                <w:rFonts w:ascii="Times New Roman" w:eastAsia="Times New Roman" w:hAnsi="Times New Roman" w:cs="Times New Roman"/>
                <w:b/>
                <w:color w:val="auto"/>
                <w:sz w:val="24"/>
                <w:szCs w:val="24"/>
                <w:lang w:eastAsia="en-US"/>
              </w:rPr>
            </w:pPr>
          </w:p>
        </w:tc>
        <w:tc>
          <w:tcPr>
            <w:tcW w:w="2790" w:type="dxa"/>
            <w:gridSpan w:val="4"/>
          </w:tcPr>
          <w:p w14:paraId="40039003" w14:textId="77777777" w:rsidR="00B1091B" w:rsidRPr="0090237D" w:rsidRDefault="00B1091B" w:rsidP="00F351DD">
            <w:pPr>
              <w:jc w:val="right"/>
              <w:rPr>
                <w:rFonts w:ascii="Times New Roman" w:eastAsia="Times New Roman" w:hAnsi="Times New Roman" w:cs="Times New Roman"/>
                <w:color w:val="auto"/>
                <w:sz w:val="24"/>
                <w:szCs w:val="24"/>
                <w:lang w:eastAsia="en-US"/>
              </w:rPr>
            </w:pPr>
          </w:p>
        </w:tc>
      </w:tr>
      <w:tr w:rsidR="00B1091B" w:rsidRPr="0090237D" w14:paraId="5D446FD0" w14:textId="77777777" w:rsidTr="005E795E">
        <w:tc>
          <w:tcPr>
            <w:tcW w:w="3690" w:type="dxa"/>
          </w:tcPr>
          <w:p w14:paraId="3BD3AEDC" w14:textId="08E8D6EC" w:rsidR="00977343" w:rsidRPr="0090237D" w:rsidRDefault="00CB229F" w:rsidP="003B2947">
            <w:pPr>
              <w:rPr>
                <w:color w:val="auto"/>
              </w:rPr>
            </w:pPr>
            <w:r w:rsidRPr="0090237D">
              <w:rPr>
                <w:rFonts w:ascii="Times New Roman" w:hAnsi="Times New Roman"/>
                <w:color w:val="auto"/>
                <w:sz w:val="24"/>
                <w:szCs w:val="24"/>
              </w:rPr>
              <w:t>Comité exécutif du CANB</w:t>
            </w:r>
          </w:p>
        </w:tc>
        <w:tc>
          <w:tcPr>
            <w:tcW w:w="2941" w:type="dxa"/>
            <w:gridSpan w:val="6"/>
          </w:tcPr>
          <w:p w14:paraId="42E7F76D" w14:textId="77777777" w:rsidR="00B1091B" w:rsidRPr="0090237D" w:rsidRDefault="00B1091B" w:rsidP="00F351DD">
            <w:pPr>
              <w:jc w:val="right"/>
              <w:rPr>
                <w:rFonts w:ascii="Times New Roman" w:eastAsia="Times New Roman" w:hAnsi="Times New Roman" w:cs="Times New Roman"/>
                <w:b/>
                <w:color w:val="auto"/>
                <w:sz w:val="24"/>
                <w:szCs w:val="24"/>
                <w:lang w:eastAsia="en-US"/>
              </w:rPr>
            </w:pPr>
          </w:p>
        </w:tc>
        <w:tc>
          <w:tcPr>
            <w:tcW w:w="2790" w:type="dxa"/>
            <w:gridSpan w:val="4"/>
          </w:tcPr>
          <w:p w14:paraId="580BF1B4" w14:textId="77777777" w:rsidR="00B1091B" w:rsidRPr="0090237D" w:rsidRDefault="00B1091B" w:rsidP="00F351DD">
            <w:pPr>
              <w:jc w:val="right"/>
              <w:rPr>
                <w:rFonts w:ascii="Times New Roman" w:eastAsia="Times New Roman" w:hAnsi="Times New Roman" w:cs="Times New Roman"/>
                <w:color w:val="auto"/>
                <w:sz w:val="24"/>
                <w:szCs w:val="24"/>
                <w:lang w:eastAsia="en-US"/>
              </w:rPr>
            </w:pPr>
          </w:p>
        </w:tc>
      </w:tr>
      <w:tr w:rsidR="00B1091B" w:rsidRPr="0090237D" w14:paraId="576D989E" w14:textId="77777777" w:rsidTr="005E795E">
        <w:tc>
          <w:tcPr>
            <w:tcW w:w="3690" w:type="dxa"/>
          </w:tcPr>
          <w:p w14:paraId="25826E35" w14:textId="1B449C1A" w:rsidR="00B1091B" w:rsidRPr="0090237D" w:rsidRDefault="00CB229F" w:rsidP="000755B4">
            <w:pPr>
              <w:pStyle w:val="Paragraphedeliste"/>
              <w:numPr>
                <w:ilvl w:val="0"/>
                <w:numId w:val="30"/>
              </w:numPr>
              <w:spacing w:line="240" w:lineRule="auto"/>
              <w:ind w:left="617"/>
              <w:rPr>
                <w:rFonts w:ascii="Times New Roman" w:eastAsia="Times New Roman" w:hAnsi="Times New Roman" w:cs="Times New Roman"/>
                <w:sz w:val="24"/>
                <w:szCs w:val="24"/>
              </w:rPr>
            </w:pPr>
            <w:r w:rsidRPr="0090237D">
              <w:t>Déplacements et nourriture</w:t>
            </w:r>
          </w:p>
        </w:tc>
        <w:tc>
          <w:tcPr>
            <w:tcW w:w="2941" w:type="dxa"/>
            <w:gridSpan w:val="6"/>
          </w:tcPr>
          <w:p w14:paraId="17CAB375" w14:textId="77777777" w:rsidR="00B1091B" w:rsidRPr="0090237D" w:rsidRDefault="00B1091B" w:rsidP="00F351DD">
            <w:pPr>
              <w:jc w:val="right"/>
              <w:rPr>
                <w:rFonts w:ascii="Times New Roman" w:eastAsia="Times New Roman" w:hAnsi="Times New Roman" w:cs="Times New Roman"/>
                <w:b/>
                <w:color w:val="auto"/>
                <w:sz w:val="24"/>
                <w:szCs w:val="24"/>
                <w:lang w:eastAsia="en-US"/>
              </w:rPr>
            </w:pPr>
          </w:p>
        </w:tc>
        <w:tc>
          <w:tcPr>
            <w:tcW w:w="2790" w:type="dxa"/>
            <w:gridSpan w:val="4"/>
          </w:tcPr>
          <w:p w14:paraId="56535EED" w14:textId="77777777" w:rsidR="00B1091B" w:rsidRPr="0090237D" w:rsidRDefault="000755B4" w:rsidP="00F351DD">
            <w:pPr>
              <w:jc w:val="right"/>
              <w:rPr>
                <w:rFonts w:ascii="Times New Roman" w:eastAsia="Times New Roman" w:hAnsi="Times New Roman" w:cs="Times New Roman"/>
                <w:color w:val="auto"/>
                <w:sz w:val="24"/>
                <w:szCs w:val="24"/>
              </w:rPr>
            </w:pPr>
            <w:r w:rsidRPr="0090237D">
              <w:rPr>
                <w:rFonts w:ascii="Calibri" w:hAnsi="Calibri"/>
                <w:color w:val="auto"/>
                <w:sz w:val="24"/>
                <w:szCs w:val="24"/>
              </w:rPr>
              <w:t>3 276,57</w:t>
            </w:r>
          </w:p>
        </w:tc>
      </w:tr>
      <w:tr w:rsidR="00B1091B" w:rsidRPr="0090237D" w14:paraId="2C3AC77B" w14:textId="77777777" w:rsidTr="005E795E">
        <w:tc>
          <w:tcPr>
            <w:tcW w:w="3690" w:type="dxa"/>
          </w:tcPr>
          <w:p w14:paraId="2284BC2B" w14:textId="77777777" w:rsidR="00B1091B" w:rsidRPr="0090237D" w:rsidRDefault="00B1091B" w:rsidP="003B2947">
            <w:pPr>
              <w:rPr>
                <w:rFonts w:ascii="Times New Roman" w:eastAsia="Times New Roman" w:hAnsi="Times New Roman" w:cs="Times New Roman"/>
                <w:color w:val="auto"/>
                <w:sz w:val="24"/>
                <w:szCs w:val="24"/>
                <w:lang w:eastAsia="en-US"/>
              </w:rPr>
            </w:pPr>
          </w:p>
        </w:tc>
        <w:tc>
          <w:tcPr>
            <w:tcW w:w="2941" w:type="dxa"/>
            <w:gridSpan w:val="6"/>
          </w:tcPr>
          <w:p w14:paraId="59337E22" w14:textId="77777777" w:rsidR="00B1091B" w:rsidRPr="0090237D" w:rsidRDefault="00B1091B" w:rsidP="00F351DD">
            <w:pPr>
              <w:jc w:val="right"/>
              <w:rPr>
                <w:rFonts w:ascii="Times New Roman" w:eastAsia="Times New Roman" w:hAnsi="Times New Roman" w:cs="Times New Roman"/>
                <w:b/>
                <w:color w:val="auto"/>
                <w:sz w:val="24"/>
                <w:szCs w:val="24"/>
                <w:lang w:eastAsia="en-US"/>
              </w:rPr>
            </w:pPr>
          </w:p>
        </w:tc>
        <w:tc>
          <w:tcPr>
            <w:tcW w:w="2790" w:type="dxa"/>
            <w:gridSpan w:val="4"/>
          </w:tcPr>
          <w:p w14:paraId="277AC741" w14:textId="77777777" w:rsidR="00B1091B" w:rsidRPr="0090237D" w:rsidRDefault="00B1091B" w:rsidP="00F351DD">
            <w:pPr>
              <w:jc w:val="right"/>
              <w:rPr>
                <w:rFonts w:ascii="Times New Roman" w:eastAsia="Times New Roman" w:hAnsi="Times New Roman" w:cs="Times New Roman"/>
                <w:color w:val="auto"/>
                <w:sz w:val="24"/>
                <w:szCs w:val="24"/>
                <w:lang w:eastAsia="en-US"/>
              </w:rPr>
            </w:pPr>
          </w:p>
        </w:tc>
      </w:tr>
      <w:tr w:rsidR="000755B4" w:rsidRPr="0090237D" w14:paraId="03D4FE91" w14:textId="77777777" w:rsidTr="005E795E">
        <w:tc>
          <w:tcPr>
            <w:tcW w:w="3690" w:type="dxa"/>
          </w:tcPr>
          <w:p w14:paraId="66037C5E" w14:textId="6CFEA66B" w:rsidR="00977343" w:rsidRPr="0090237D" w:rsidRDefault="00CB229F" w:rsidP="003B2947">
            <w:pPr>
              <w:rPr>
                <w:color w:val="auto"/>
              </w:rPr>
            </w:pPr>
            <w:r w:rsidRPr="0090237D">
              <w:rPr>
                <w:rFonts w:ascii="Times New Roman" w:hAnsi="Times New Roman"/>
                <w:color w:val="auto"/>
                <w:sz w:val="24"/>
                <w:szCs w:val="24"/>
              </w:rPr>
              <w:t>CANB – AGA 2018</w:t>
            </w:r>
          </w:p>
        </w:tc>
        <w:tc>
          <w:tcPr>
            <w:tcW w:w="2941" w:type="dxa"/>
            <w:gridSpan w:val="6"/>
          </w:tcPr>
          <w:p w14:paraId="2EC71551" w14:textId="77777777" w:rsidR="000755B4" w:rsidRPr="0090237D" w:rsidRDefault="000755B4" w:rsidP="00F351DD">
            <w:pPr>
              <w:jc w:val="right"/>
              <w:rPr>
                <w:rFonts w:ascii="Times New Roman" w:eastAsia="Times New Roman" w:hAnsi="Times New Roman" w:cs="Times New Roman"/>
                <w:b/>
                <w:color w:val="auto"/>
                <w:sz w:val="24"/>
                <w:szCs w:val="24"/>
                <w:lang w:eastAsia="en-US"/>
              </w:rPr>
            </w:pPr>
          </w:p>
        </w:tc>
        <w:tc>
          <w:tcPr>
            <w:tcW w:w="2790" w:type="dxa"/>
            <w:gridSpan w:val="4"/>
          </w:tcPr>
          <w:p w14:paraId="26897EDF" w14:textId="77777777" w:rsidR="000755B4" w:rsidRPr="0090237D" w:rsidRDefault="000755B4" w:rsidP="00F351DD">
            <w:pPr>
              <w:jc w:val="right"/>
              <w:rPr>
                <w:rFonts w:ascii="Times New Roman" w:eastAsia="Times New Roman" w:hAnsi="Times New Roman" w:cs="Times New Roman"/>
                <w:color w:val="auto"/>
                <w:sz w:val="24"/>
                <w:szCs w:val="24"/>
                <w:lang w:eastAsia="en-US"/>
              </w:rPr>
            </w:pPr>
          </w:p>
        </w:tc>
      </w:tr>
      <w:tr w:rsidR="000755B4" w:rsidRPr="0090237D" w14:paraId="71D5E828" w14:textId="77777777" w:rsidTr="005E795E">
        <w:tc>
          <w:tcPr>
            <w:tcW w:w="5406" w:type="dxa"/>
            <w:gridSpan w:val="4"/>
          </w:tcPr>
          <w:p w14:paraId="1D36B414" w14:textId="37603246" w:rsidR="000755B4" w:rsidRPr="0090237D" w:rsidRDefault="00CB229F" w:rsidP="000755B4">
            <w:pPr>
              <w:pStyle w:val="Paragraphedeliste"/>
              <w:numPr>
                <w:ilvl w:val="0"/>
                <w:numId w:val="30"/>
              </w:numPr>
              <w:spacing w:line="240" w:lineRule="auto"/>
              <w:ind w:left="617"/>
              <w:rPr>
                <w:rFonts w:ascii="Times New Roman" w:eastAsia="Times New Roman" w:hAnsi="Times New Roman" w:cs="Times New Roman"/>
                <w:sz w:val="24"/>
                <w:szCs w:val="24"/>
              </w:rPr>
            </w:pPr>
            <w:r w:rsidRPr="0090237D">
              <w:rPr>
                <w:rFonts w:ascii="Calibri" w:hAnsi="Calibri"/>
                <w:sz w:val="24"/>
                <w:szCs w:val="24"/>
              </w:rPr>
              <w:t>Remboursements de frais de déplacement</w:t>
            </w:r>
          </w:p>
        </w:tc>
        <w:tc>
          <w:tcPr>
            <w:tcW w:w="1225" w:type="dxa"/>
            <w:gridSpan w:val="3"/>
          </w:tcPr>
          <w:p w14:paraId="56A72DF8" w14:textId="77777777" w:rsidR="000755B4" w:rsidRPr="0090237D" w:rsidRDefault="000755B4" w:rsidP="00F351DD">
            <w:pPr>
              <w:jc w:val="right"/>
              <w:rPr>
                <w:rFonts w:ascii="Times New Roman" w:eastAsia="Times New Roman" w:hAnsi="Times New Roman" w:cs="Times New Roman"/>
                <w:b/>
                <w:color w:val="auto"/>
                <w:sz w:val="24"/>
                <w:szCs w:val="24"/>
              </w:rPr>
            </w:pPr>
            <w:r w:rsidRPr="0090237D">
              <w:rPr>
                <w:rFonts w:ascii="Calibri" w:hAnsi="Calibri"/>
                <w:color w:val="auto"/>
                <w:sz w:val="24"/>
                <w:szCs w:val="24"/>
              </w:rPr>
              <w:t>1 378,39</w:t>
            </w:r>
          </w:p>
        </w:tc>
        <w:tc>
          <w:tcPr>
            <w:tcW w:w="2790" w:type="dxa"/>
            <w:gridSpan w:val="4"/>
          </w:tcPr>
          <w:p w14:paraId="669B609A" w14:textId="77777777" w:rsidR="000755B4" w:rsidRPr="0090237D" w:rsidRDefault="000755B4" w:rsidP="00F351DD">
            <w:pPr>
              <w:jc w:val="right"/>
              <w:rPr>
                <w:rFonts w:ascii="Times New Roman" w:eastAsia="Times New Roman" w:hAnsi="Times New Roman" w:cs="Times New Roman"/>
                <w:color w:val="auto"/>
                <w:sz w:val="24"/>
                <w:szCs w:val="24"/>
                <w:lang w:eastAsia="en-US"/>
              </w:rPr>
            </w:pPr>
          </w:p>
        </w:tc>
      </w:tr>
      <w:tr w:rsidR="000755B4" w:rsidRPr="0090237D" w14:paraId="05022478" w14:textId="77777777" w:rsidTr="005E795E">
        <w:tc>
          <w:tcPr>
            <w:tcW w:w="3690" w:type="dxa"/>
          </w:tcPr>
          <w:p w14:paraId="36383C2B" w14:textId="6BA04663" w:rsidR="00977343" w:rsidRPr="0090237D" w:rsidRDefault="00CB229F" w:rsidP="00B94F8F">
            <w:pPr>
              <w:pStyle w:val="Paragraphedeliste"/>
              <w:numPr>
                <w:ilvl w:val="0"/>
                <w:numId w:val="30"/>
              </w:numPr>
              <w:spacing w:line="240" w:lineRule="auto"/>
              <w:ind w:left="617"/>
            </w:pPr>
            <w:r w:rsidRPr="0090237D">
              <w:rPr>
                <w:rFonts w:ascii="Calibri" w:hAnsi="Calibri"/>
                <w:sz w:val="24"/>
                <w:szCs w:val="24"/>
              </w:rPr>
              <w:t>Nourriture</w:t>
            </w:r>
          </w:p>
        </w:tc>
        <w:tc>
          <w:tcPr>
            <w:tcW w:w="2941" w:type="dxa"/>
            <w:gridSpan w:val="6"/>
          </w:tcPr>
          <w:p w14:paraId="26691E5B" w14:textId="77777777" w:rsidR="000755B4" w:rsidRPr="0090237D" w:rsidRDefault="00B94F8F" w:rsidP="00F351DD">
            <w:pPr>
              <w:jc w:val="right"/>
              <w:rPr>
                <w:rFonts w:ascii="Calibri" w:eastAsia="Calibri" w:hAnsi="Calibri" w:cs="Times New Roman"/>
                <w:color w:val="auto"/>
                <w:sz w:val="24"/>
                <w:szCs w:val="24"/>
              </w:rPr>
            </w:pPr>
            <w:r w:rsidRPr="0090237D">
              <w:rPr>
                <w:rFonts w:ascii="Calibri" w:hAnsi="Calibri"/>
                <w:color w:val="auto"/>
                <w:sz w:val="24"/>
                <w:szCs w:val="24"/>
              </w:rPr>
              <w:t>496,38</w:t>
            </w:r>
          </w:p>
        </w:tc>
        <w:tc>
          <w:tcPr>
            <w:tcW w:w="2790" w:type="dxa"/>
            <w:gridSpan w:val="4"/>
          </w:tcPr>
          <w:p w14:paraId="29BE4FA5" w14:textId="77777777" w:rsidR="000755B4" w:rsidRPr="0090237D" w:rsidRDefault="000755B4" w:rsidP="00F351DD">
            <w:pPr>
              <w:jc w:val="right"/>
              <w:rPr>
                <w:rFonts w:ascii="Times New Roman" w:eastAsia="Times New Roman" w:hAnsi="Times New Roman" w:cs="Times New Roman"/>
                <w:color w:val="auto"/>
                <w:sz w:val="24"/>
                <w:szCs w:val="24"/>
                <w:lang w:eastAsia="en-US"/>
              </w:rPr>
            </w:pPr>
          </w:p>
        </w:tc>
      </w:tr>
      <w:tr w:rsidR="000755B4" w:rsidRPr="0090237D" w14:paraId="42E940FB" w14:textId="77777777" w:rsidTr="005E795E">
        <w:tc>
          <w:tcPr>
            <w:tcW w:w="3690" w:type="dxa"/>
          </w:tcPr>
          <w:p w14:paraId="3E3DB38F" w14:textId="61072B18" w:rsidR="000755B4" w:rsidRPr="0090237D" w:rsidRDefault="00CB229F" w:rsidP="00B94F8F">
            <w:pPr>
              <w:pStyle w:val="Paragraphedeliste"/>
              <w:numPr>
                <w:ilvl w:val="0"/>
                <w:numId w:val="30"/>
              </w:numPr>
              <w:spacing w:line="240" w:lineRule="auto"/>
              <w:ind w:left="617"/>
              <w:rPr>
                <w:rFonts w:ascii="Times New Roman" w:eastAsia="Times New Roman" w:hAnsi="Times New Roman" w:cs="Times New Roman"/>
                <w:sz w:val="24"/>
                <w:szCs w:val="24"/>
              </w:rPr>
            </w:pPr>
            <w:r w:rsidRPr="0090237D">
              <w:t>Prix du bénévolat</w:t>
            </w:r>
          </w:p>
        </w:tc>
        <w:tc>
          <w:tcPr>
            <w:tcW w:w="2941" w:type="dxa"/>
            <w:gridSpan w:val="6"/>
          </w:tcPr>
          <w:p w14:paraId="601E55FB" w14:textId="77777777" w:rsidR="000755B4" w:rsidRPr="0090237D" w:rsidRDefault="00B94F8F" w:rsidP="00F351DD">
            <w:pPr>
              <w:jc w:val="right"/>
              <w:rPr>
                <w:rFonts w:ascii="Calibri" w:eastAsia="Calibri" w:hAnsi="Calibri" w:cs="Times New Roman"/>
                <w:color w:val="auto"/>
                <w:sz w:val="24"/>
                <w:szCs w:val="24"/>
              </w:rPr>
            </w:pPr>
            <w:r w:rsidRPr="0090237D">
              <w:rPr>
                <w:rFonts w:ascii="Calibri" w:hAnsi="Calibri"/>
                <w:color w:val="auto"/>
                <w:sz w:val="24"/>
                <w:szCs w:val="24"/>
              </w:rPr>
              <w:t>90,85</w:t>
            </w:r>
          </w:p>
        </w:tc>
        <w:tc>
          <w:tcPr>
            <w:tcW w:w="2790" w:type="dxa"/>
            <w:gridSpan w:val="4"/>
          </w:tcPr>
          <w:p w14:paraId="06D560A5" w14:textId="77777777" w:rsidR="000755B4" w:rsidRPr="0090237D" w:rsidRDefault="00B94F8F" w:rsidP="00F351DD">
            <w:pPr>
              <w:jc w:val="right"/>
              <w:rPr>
                <w:rFonts w:ascii="Times New Roman" w:eastAsia="Times New Roman" w:hAnsi="Times New Roman" w:cs="Times New Roman"/>
                <w:color w:val="auto"/>
                <w:sz w:val="24"/>
                <w:szCs w:val="24"/>
              </w:rPr>
            </w:pPr>
            <w:r w:rsidRPr="0090237D">
              <w:rPr>
                <w:rFonts w:ascii="Calibri" w:hAnsi="Calibri"/>
                <w:color w:val="auto"/>
                <w:sz w:val="24"/>
                <w:szCs w:val="24"/>
              </w:rPr>
              <w:t>1 965,62</w:t>
            </w:r>
          </w:p>
        </w:tc>
      </w:tr>
      <w:tr w:rsidR="000755B4" w:rsidRPr="0090237D" w14:paraId="3D86E8F3" w14:textId="77777777" w:rsidTr="005E795E">
        <w:tc>
          <w:tcPr>
            <w:tcW w:w="3690" w:type="dxa"/>
          </w:tcPr>
          <w:p w14:paraId="096EA904" w14:textId="77777777" w:rsidR="000755B4" w:rsidRPr="0090237D" w:rsidRDefault="000755B4" w:rsidP="003B2947">
            <w:pPr>
              <w:rPr>
                <w:rFonts w:ascii="Times New Roman" w:eastAsia="Times New Roman" w:hAnsi="Times New Roman" w:cs="Times New Roman"/>
                <w:color w:val="auto"/>
                <w:sz w:val="24"/>
                <w:szCs w:val="24"/>
                <w:lang w:eastAsia="en-US"/>
              </w:rPr>
            </w:pPr>
          </w:p>
        </w:tc>
        <w:tc>
          <w:tcPr>
            <w:tcW w:w="2941" w:type="dxa"/>
            <w:gridSpan w:val="6"/>
          </w:tcPr>
          <w:p w14:paraId="7556AB08" w14:textId="77777777" w:rsidR="000755B4" w:rsidRPr="0090237D" w:rsidRDefault="000755B4" w:rsidP="00F351DD">
            <w:pPr>
              <w:jc w:val="right"/>
              <w:rPr>
                <w:rFonts w:ascii="Calibri" w:eastAsia="Calibri" w:hAnsi="Calibri" w:cs="Times New Roman"/>
                <w:color w:val="auto"/>
                <w:sz w:val="24"/>
                <w:szCs w:val="24"/>
                <w:lang w:eastAsia="en-US"/>
              </w:rPr>
            </w:pPr>
          </w:p>
        </w:tc>
        <w:tc>
          <w:tcPr>
            <w:tcW w:w="2790" w:type="dxa"/>
            <w:gridSpan w:val="4"/>
          </w:tcPr>
          <w:p w14:paraId="18EC5509" w14:textId="77777777" w:rsidR="000755B4" w:rsidRPr="0090237D" w:rsidRDefault="000755B4" w:rsidP="00F351DD">
            <w:pPr>
              <w:jc w:val="right"/>
              <w:rPr>
                <w:rFonts w:ascii="Times New Roman" w:eastAsia="Times New Roman" w:hAnsi="Times New Roman" w:cs="Times New Roman"/>
                <w:color w:val="auto"/>
                <w:sz w:val="24"/>
                <w:szCs w:val="24"/>
                <w:lang w:eastAsia="en-US"/>
              </w:rPr>
            </w:pPr>
          </w:p>
        </w:tc>
      </w:tr>
      <w:tr w:rsidR="000755B4" w:rsidRPr="0090237D" w14:paraId="7C5148E2" w14:textId="77777777" w:rsidTr="005E795E">
        <w:tc>
          <w:tcPr>
            <w:tcW w:w="3690" w:type="dxa"/>
          </w:tcPr>
          <w:p w14:paraId="7BA39255" w14:textId="496AAB10" w:rsidR="00977343" w:rsidRPr="0090237D" w:rsidRDefault="00CB229F" w:rsidP="003B2947">
            <w:pPr>
              <w:rPr>
                <w:color w:val="auto"/>
              </w:rPr>
            </w:pPr>
            <w:r w:rsidRPr="0090237D">
              <w:rPr>
                <w:rFonts w:ascii="Times New Roman" w:hAnsi="Times New Roman"/>
                <w:color w:val="auto"/>
                <w:sz w:val="24"/>
                <w:szCs w:val="24"/>
              </w:rPr>
              <w:t>Autres dépenses</w:t>
            </w:r>
          </w:p>
        </w:tc>
        <w:tc>
          <w:tcPr>
            <w:tcW w:w="2941" w:type="dxa"/>
            <w:gridSpan w:val="6"/>
          </w:tcPr>
          <w:p w14:paraId="4D31C1D6" w14:textId="77777777" w:rsidR="000755B4" w:rsidRPr="0090237D" w:rsidRDefault="000755B4" w:rsidP="00F351DD">
            <w:pPr>
              <w:jc w:val="right"/>
              <w:rPr>
                <w:rFonts w:ascii="Calibri" w:eastAsia="Calibri" w:hAnsi="Calibri" w:cs="Times New Roman"/>
                <w:color w:val="auto"/>
                <w:sz w:val="24"/>
                <w:szCs w:val="24"/>
                <w:lang w:eastAsia="en-US"/>
              </w:rPr>
            </w:pPr>
          </w:p>
        </w:tc>
        <w:tc>
          <w:tcPr>
            <w:tcW w:w="2790" w:type="dxa"/>
            <w:gridSpan w:val="4"/>
          </w:tcPr>
          <w:p w14:paraId="08E60B6F" w14:textId="77777777" w:rsidR="000755B4" w:rsidRPr="0090237D" w:rsidRDefault="000755B4" w:rsidP="00F351DD">
            <w:pPr>
              <w:jc w:val="right"/>
              <w:rPr>
                <w:rFonts w:ascii="Times New Roman" w:eastAsia="Times New Roman" w:hAnsi="Times New Roman" w:cs="Times New Roman"/>
                <w:color w:val="auto"/>
                <w:sz w:val="24"/>
                <w:szCs w:val="24"/>
                <w:lang w:eastAsia="en-US"/>
              </w:rPr>
            </w:pPr>
          </w:p>
        </w:tc>
      </w:tr>
      <w:tr w:rsidR="000755B4" w:rsidRPr="0090237D" w14:paraId="6059AB48" w14:textId="77777777" w:rsidTr="005E795E">
        <w:tc>
          <w:tcPr>
            <w:tcW w:w="5310" w:type="dxa"/>
            <w:gridSpan w:val="3"/>
          </w:tcPr>
          <w:p w14:paraId="556602B5" w14:textId="496F3CA9" w:rsidR="000755B4" w:rsidRPr="0090237D" w:rsidRDefault="00CB229F" w:rsidP="00347BA3">
            <w:pPr>
              <w:pStyle w:val="Paragraphedeliste"/>
              <w:numPr>
                <w:ilvl w:val="0"/>
                <w:numId w:val="30"/>
              </w:numPr>
              <w:spacing w:line="240" w:lineRule="auto"/>
              <w:ind w:left="617"/>
              <w:rPr>
                <w:rFonts w:ascii="Times New Roman" w:eastAsia="Times New Roman" w:hAnsi="Times New Roman" w:cs="Times New Roman"/>
                <w:sz w:val="24"/>
                <w:szCs w:val="24"/>
              </w:rPr>
            </w:pPr>
            <w:r w:rsidRPr="0090237D">
              <w:rPr>
                <w:rFonts w:ascii="Calibri" w:hAnsi="Calibri"/>
                <w:sz w:val="24"/>
                <w:szCs w:val="24"/>
              </w:rPr>
              <w:t>Subventions aux membres</w:t>
            </w:r>
          </w:p>
        </w:tc>
        <w:tc>
          <w:tcPr>
            <w:tcW w:w="1321" w:type="dxa"/>
            <w:gridSpan w:val="4"/>
          </w:tcPr>
          <w:p w14:paraId="4582B64A" w14:textId="77777777" w:rsidR="000755B4" w:rsidRPr="0090237D" w:rsidRDefault="00347BA3" w:rsidP="00F351DD">
            <w:pPr>
              <w:jc w:val="right"/>
              <w:rPr>
                <w:rFonts w:ascii="Calibri" w:eastAsia="Calibri" w:hAnsi="Calibri" w:cs="Times New Roman"/>
                <w:color w:val="auto"/>
                <w:sz w:val="24"/>
                <w:szCs w:val="24"/>
              </w:rPr>
            </w:pPr>
            <w:r w:rsidRPr="0090237D">
              <w:rPr>
                <w:rFonts w:ascii="Calibri" w:hAnsi="Calibri"/>
                <w:color w:val="auto"/>
                <w:sz w:val="24"/>
                <w:szCs w:val="24"/>
              </w:rPr>
              <w:t>35 312,47</w:t>
            </w:r>
          </w:p>
        </w:tc>
        <w:tc>
          <w:tcPr>
            <w:tcW w:w="2790" w:type="dxa"/>
            <w:gridSpan w:val="4"/>
          </w:tcPr>
          <w:p w14:paraId="42981B3C" w14:textId="77777777" w:rsidR="000755B4" w:rsidRPr="0090237D" w:rsidRDefault="000755B4" w:rsidP="00F351DD">
            <w:pPr>
              <w:jc w:val="right"/>
              <w:rPr>
                <w:rFonts w:ascii="Times New Roman" w:eastAsia="Times New Roman" w:hAnsi="Times New Roman" w:cs="Times New Roman"/>
                <w:color w:val="auto"/>
                <w:sz w:val="24"/>
                <w:szCs w:val="24"/>
                <w:lang w:eastAsia="en-US"/>
              </w:rPr>
            </w:pPr>
          </w:p>
        </w:tc>
      </w:tr>
      <w:tr w:rsidR="00347BA3" w:rsidRPr="0090237D" w14:paraId="6467F785" w14:textId="77777777" w:rsidTr="005E795E">
        <w:tc>
          <w:tcPr>
            <w:tcW w:w="5310" w:type="dxa"/>
            <w:gridSpan w:val="3"/>
          </w:tcPr>
          <w:p w14:paraId="6B0CC4DE" w14:textId="2DA2CD2F" w:rsidR="00347BA3" w:rsidRPr="0090237D" w:rsidRDefault="00CB229F" w:rsidP="00347BA3">
            <w:pPr>
              <w:pStyle w:val="Paragraphedeliste"/>
              <w:numPr>
                <w:ilvl w:val="0"/>
                <w:numId w:val="30"/>
              </w:numPr>
              <w:spacing w:line="240" w:lineRule="auto"/>
              <w:ind w:left="617"/>
              <w:rPr>
                <w:rFonts w:ascii="Times New Roman" w:eastAsia="Times New Roman" w:hAnsi="Times New Roman" w:cs="Times New Roman"/>
                <w:sz w:val="24"/>
                <w:szCs w:val="24"/>
              </w:rPr>
            </w:pPr>
            <w:r w:rsidRPr="0090237D">
              <w:rPr>
                <w:rFonts w:ascii="Calibri" w:hAnsi="Calibri"/>
                <w:sz w:val="24"/>
                <w:szCs w:val="24"/>
              </w:rPr>
              <w:t>Projets CANB (Salaire de la conseillère en archivistique)</w:t>
            </w:r>
          </w:p>
        </w:tc>
        <w:tc>
          <w:tcPr>
            <w:tcW w:w="1321" w:type="dxa"/>
            <w:gridSpan w:val="4"/>
          </w:tcPr>
          <w:p w14:paraId="63E95F13" w14:textId="77777777" w:rsidR="00347BA3" w:rsidRPr="0090237D" w:rsidRDefault="00347BA3" w:rsidP="00F351DD">
            <w:pPr>
              <w:jc w:val="right"/>
              <w:rPr>
                <w:rFonts w:ascii="Calibri" w:eastAsia="Calibri" w:hAnsi="Calibri" w:cs="Times New Roman"/>
                <w:color w:val="auto"/>
                <w:sz w:val="24"/>
                <w:szCs w:val="24"/>
              </w:rPr>
            </w:pPr>
            <w:r w:rsidRPr="0090237D">
              <w:rPr>
                <w:rFonts w:ascii="Calibri" w:hAnsi="Calibri"/>
                <w:color w:val="auto"/>
                <w:sz w:val="24"/>
                <w:szCs w:val="24"/>
              </w:rPr>
              <w:t xml:space="preserve">27 071,96 </w:t>
            </w:r>
          </w:p>
        </w:tc>
        <w:tc>
          <w:tcPr>
            <w:tcW w:w="2790" w:type="dxa"/>
            <w:gridSpan w:val="4"/>
          </w:tcPr>
          <w:p w14:paraId="0AF1416F" w14:textId="77777777" w:rsidR="00347BA3" w:rsidRPr="0090237D" w:rsidRDefault="00347BA3" w:rsidP="00F351DD">
            <w:pPr>
              <w:jc w:val="right"/>
              <w:rPr>
                <w:rFonts w:ascii="Times New Roman" w:eastAsia="Times New Roman" w:hAnsi="Times New Roman" w:cs="Times New Roman"/>
                <w:color w:val="auto"/>
                <w:sz w:val="24"/>
                <w:szCs w:val="24"/>
                <w:lang w:eastAsia="en-US"/>
              </w:rPr>
            </w:pPr>
          </w:p>
        </w:tc>
      </w:tr>
      <w:tr w:rsidR="00347BA3" w:rsidRPr="0090237D" w14:paraId="05970350" w14:textId="77777777" w:rsidTr="005E795E">
        <w:tc>
          <w:tcPr>
            <w:tcW w:w="5310" w:type="dxa"/>
            <w:gridSpan w:val="3"/>
          </w:tcPr>
          <w:p w14:paraId="038F8C00" w14:textId="23F9E52C" w:rsidR="00347BA3" w:rsidRPr="0090237D" w:rsidRDefault="00CB229F" w:rsidP="00347BA3">
            <w:pPr>
              <w:pStyle w:val="Paragraphedeliste"/>
              <w:numPr>
                <w:ilvl w:val="0"/>
                <w:numId w:val="30"/>
              </w:numPr>
              <w:spacing w:line="240" w:lineRule="auto"/>
              <w:ind w:left="617"/>
              <w:rPr>
                <w:rFonts w:ascii="Times New Roman" w:eastAsia="Times New Roman" w:hAnsi="Times New Roman" w:cs="Times New Roman"/>
                <w:sz w:val="24"/>
                <w:szCs w:val="24"/>
              </w:rPr>
            </w:pPr>
            <w:r w:rsidRPr="0090237D">
              <w:rPr>
                <w:rFonts w:ascii="Calibri" w:hAnsi="Calibri"/>
                <w:sz w:val="24"/>
                <w:szCs w:val="24"/>
              </w:rPr>
              <w:t>Adhésion au Conseil canadien des archives</w:t>
            </w:r>
          </w:p>
        </w:tc>
        <w:tc>
          <w:tcPr>
            <w:tcW w:w="1321" w:type="dxa"/>
            <w:gridSpan w:val="4"/>
          </w:tcPr>
          <w:p w14:paraId="34FA97F2" w14:textId="77777777" w:rsidR="00347BA3" w:rsidRPr="0090237D" w:rsidRDefault="00347BA3" w:rsidP="00F351DD">
            <w:pPr>
              <w:jc w:val="right"/>
              <w:rPr>
                <w:rFonts w:ascii="Calibri" w:eastAsia="Calibri" w:hAnsi="Calibri" w:cs="Times New Roman"/>
                <w:color w:val="auto"/>
                <w:sz w:val="24"/>
                <w:szCs w:val="24"/>
              </w:rPr>
            </w:pPr>
            <w:r w:rsidRPr="0090237D">
              <w:rPr>
                <w:rFonts w:ascii="Calibri" w:hAnsi="Calibri"/>
                <w:color w:val="auto"/>
                <w:sz w:val="24"/>
                <w:szCs w:val="24"/>
              </w:rPr>
              <w:t>200,00</w:t>
            </w:r>
          </w:p>
        </w:tc>
        <w:tc>
          <w:tcPr>
            <w:tcW w:w="2790" w:type="dxa"/>
            <w:gridSpan w:val="4"/>
          </w:tcPr>
          <w:p w14:paraId="0CA3DE62" w14:textId="77777777" w:rsidR="00347BA3" w:rsidRPr="0090237D" w:rsidRDefault="00347BA3" w:rsidP="00F351DD">
            <w:pPr>
              <w:jc w:val="right"/>
              <w:rPr>
                <w:rFonts w:ascii="Times New Roman" w:eastAsia="Times New Roman" w:hAnsi="Times New Roman" w:cs="Times New Roman"/>
                <w:color w:val="auto"/>
                <w:sz w:val="24"/>
                <w:szCs w:val="24"/>
                <w:lang w:eastAsia="en-US"/>
              </w:rPr>
            </w:pPr>
          </w:p>
        </w:tc>
      </w:tr>
      <w:tr w:rsidR="00347BA3" w:rsidRPr="0090237D" w14:paraId="0368FC9E" w14:textId="77777777" w:rsidTr="005E795E">
        <w:tc>
          <w:tcPr>
            <w:tcW w:w="5310" w:type="dxa"/>
            <w:gridSpan w:val="3"/>
          </w:tcPr>
          <w:p w14:paraId="0D66BFE6" w14:textId="5A478349" w:rsidR="00347BA3" w:rsidRPr="0090237D" w:rsidRDefault="00CB229F" w:rsidP="00347BA3">
            <w:pPr>
              <w:pStyle w:val="Paragraphedeliste"/>
              <w:numPr>
                <w:ilvl w:val="0"/>
                <w:numId w:val="30"/>
              </w:numPr>
              <w:spacing w:line="240" w:lineRule="auto"/>
              <w:ind w:left="617"/>
              <w:rPr>
                <w:rFonts w:ascii="Times New Roman" w:eastAsia="Times New Roman" w:hAnsi="Times New Roman" w:cs="Times New Roman"/>
                <w:sz w:val="24"/>
                <w:szCs w:val="24"/>
              </w:rPr>
            </w:pPr>
            <w:r w:rsidRPr="0090237D">
              <w:rPr>
                <w:rFonts w:ascii="Calibri" w:hAnsi="Calibri"/>
                <w:sz w:val="24"/>
                <w:szCs w:val="24"/>
              </w:rPr>
              <w:t>Fêtes du patrimoine (commandite)</w:t>
            </w:r>
          </w:p>
        </w:tc>
        <w:tc>
          <w:tcPr>
            <w:tcW w:w="1321" w:type="dxa"/>
            <w:gridSpan w:val="4"/>
          </w:tcPr>
          <w:p w14:paraId="39DC97FF" w14:textId="77777777" w:rsidR="00347BA3" w:rsidRPr="0090237D" w:rsidRDefault="00347BA3" w:rsidP="00F351DD">
            <w:pPr>
              <w:jc w:val="right"/>
              <w:rPr>
                <w:rFonts w:ascii="Calibri" w:eastAsia="Calibri" w:hAnsi="Calibri" w:cs="Times New Roman"/>
                <w:color w:val="auto"/>
                <w:sz w:val="24"/>
                <w:szCs w:val="24"/>
              </w:rPr>
            </w:pPr>
            <w:r w:rsidRPr="0090237D">
              <w:rPr>
                <w:rFonts w:ascii="Calibri" w:hAnsi="Calibri"/>
                <w:color w:val="auto"/>
                <w:sz w:val="24"/>
                <w:szCs w:val="24"/>
              </w:rPr>
              <w:t>3 000,00</w:t>
            </w:r>
          </w:p>
        </w:tc>
        <w:tc>
          <w:tcPr>
            <w:tcW w:w="2790" w:type="dxa"/>
            <w:gridSpan w:val="4"/>
          </w:tcPr>
          <w:p w14:paraId="5EBFE960" w14:textId="77777777" w:rsidR="00347BA3" w:rsidRPr="0090237D" w:rsidRDefault="00347BA3" w:rsidP="00F351DD">
            <w:pPr>
              <w:jc w:val="right"/>
              <w:rPr>
                <w:rFonts w:ascii="Times New Roman" w:eastAsia="Times New Roman" w:hAnsi="Times New Roman" w:cs="Times New Roman"/>
                <w:color w:val="auto"/>
                <w:sz w:val="24"/>
                <w:szCs w:val="24"/>
                <w:lang w:eastAsia="en-US"/>
              </w:rPr>
            </w:pPr>
          </w:p>
        </w:tc>
      </w:tr>
      <w:tr w:rsidR="00347BA3" w:rsidRPr="0090237D" w14:paraId="21B33B92" w14:textId="77777777" w:rsidTr="005E795E">
        <w:tc>
          <w:tcPr>
            <w:tcW w:w="5310" w:type="dxa"/>
            <w:gridSpan w:val="3"/>
          </w:tcPr>
          <w:p w14:paraId="6DAFECB9" w14:textId="3883F653" w:rsidR="00347BA3" w:rsidRPr="0090237D" w:rsidRDefault="00CB229F" w:rsidP="00347BA3">
            <w:pPr>
              <w:pStyle w:val="Paragraphedeliste"/>
              <w:numPr>
                <w:ilvl w:val="0"/>
                <w:numId w:val="30"/>
              </w:numPr>
              <w:spacing w:line="240" w:lineRule="auto"/>
              <w:ind w:left="617"/>
              <w:rPr>
                <w:rFonts w:ascii="Times New Roman" w:eastAsia="Times New Roman" w:hAnsi="Times New Roman" w:cs="Times New Roman"/>
                <w:sz w:val="24"/>
                <w:szCs w:val="24"/>
              </w:rPr>
            </w:pPr>
            <w:r w:rsidRPr="0090237D">
              <w:t>Hébergement du site Web</w:t>
            </w:r>
          </w:p>
        </w:tc>
        <w:tc>
          <w:tcPr>
            <w:tcW w:w="1321" w:type="dxa"/>
            <w:gridSpan w:val="4"/>
          </w:tcPr>
          <w:p w14:paraId="11195F4F" w14:textId="77777777" w:rsidR="00347BA3" w:rsidRPr="0090237D" w:rsidRDefault="00347BA3" w:rsidP="00F351DD">
            <w:pPr>
              <w:jc w:val="right"/>
              <w:rPr>
                <w:rFonts w:ascii="Calibri" w:eastAsia="Calibri" w:hAnsi="Calibri" w:cs="Times New Roman"/>
                <w:color w:val="auto"/>
                <w:sz w:val="24"/>
                <w:szCs w:val="24"/>
              </w:rPr>
            </w:pPr>
            <w:r w:rsidRPr="0090237D">
              <w:rPr>
                <w:rFonts w:ascii="Calibri" w:hAnsi="Calibri"/>
                <w:color w:val="auto"/>
                <w:sz w:val="24"/>
                <w:szCs w:val="24"/>
              </w:rPr>
              <w:t>144,64</w:t>
            </w:r>
          </w:p>
        </w:tc>
        <w:tc>
          <w:tcPr>
            <w:tcW w:w="2790" w:type="dxa"/>
            <w:gridSpan w:val="4"/>
          </w:tcPr>
          <w:p w14:paraId="156A14F8" w14:textId="77777777" w:rsidR="00347BA3" w:rsidRPr="0090237D" w:rsidRDefault="00347BA3" w:rsidP="00F351DD">
            <w:pPr>
              <w:jc w:val="right"/>
              <w:rPr>
                <w:rFonts w:ascii="Times New Roman" w:eastAsia="Times New Roman" w:hAnsi="Times New Roman" w:cs="Times New Roman"/>
                <w:color w:val="auto"/>
                <w:sz w:val="24"/>
                <w:szCs w:val="24"/>
                <w:lang w:eastAsia="en-US"/>
              </w:rPr>
            </w:pPr>
          </w:p>
        </w:tc>
      </w:tr>
      <w:tr w:rsidR="00347BA3" w:rsidRPr="0090237D" w14:paraId="5D5861EF" w14:textId="77777777" w:rsidTr="005E795E">
        <w:tc>
          <w:tcPr>
            <w:tcW w:w="5310" w:type="dxa"/>
            <w:gridSpan w:val="3"/>
          </w:tcPr>
          <w:p w14:paraId="740122D5" w14:textId="365AD731" w:rsidR="00347BA3" w:rsidRPr="0090237D" w:rsidRDefault="00CB229F" w:rsidP="00347BA3">
            <w:pPr>
              <w:pStyle w:val="Paragraphedeliste"/>
              <w:numPr>
                <w:ilvl w:val="0"/>
                <w:numId w:val="30"/>
              </w:numPr>
              <w:spacing w:line="240" w:lineRule="auto"/>
              <w:ind w:left="617"/>
              <w:rPr>
                <w:rFonts w:ascii="Times New Roman" w:eastAsia="Times New Roman" w:hAnsi="Times New Roman" w:cs="Times New Roman"/>
                <w:sz w:val="24"/>
                <w:szCs w:val="24"/>
                <w:lang w:val="en-CA"/>
              </w:rPr>
            </w:pPr>
            <w:r w:rsidRPr="0090237D">
              <w:rPr>
                <w:rFonts w:ascii="Calibri" w:hAnsi="Calibri"/>
                <w:sz w:val="24"/>
                <w:szCs w:val="24"/>
                <w:lang w:val="en-CA"/>
              </w:rPr>
              <w:t>Artefactual Systems (AtoM)</w:t>
            </w:r>
          </w:p>
        </w:tc>
        <w:tc>
          <w:tcPr>
            <w:tcW w:w="1321" w:type="dxa"/>
            <w:gridSpan w:val="4"/>
          </w:tcPr>
          <w:p w14:paraId="6AA23A91" w14:textId="77777777" w:rsidR="00347BA3" w:rsidRPr="0090237D" w:rsidRDefault="00347BA3" w:rsidP="00F351DD">
            <w:pPr>
              <w:jc w:val="right"/>
              <w:rPr>
                <w:rFonts w:ascii="Calibri" w:eastAsia="Calibri" w:hAnsi="Calibri" w:cs="Times New Roman"/>
                <w:color w:val="auto"/>
                <w:sz w:val="24"/>
                <w:szCs w:val="24"/>
              </w:rPr>
            </w:pPr>
            <w:r w:rsidRPr="0090237D">
              <w:rPr>
                <w:rFonts w:ascii="Calibri" w:hAnsi="Calibri"/>
                <w:color w:val="auto"/>
                <w:sz w:val="24"/>
                <w:szCs w:val="24"/>
              </w:rPr>
              <w:t>1 783,95</w:t>
            </w:r>
          </w:p>
        </w:tc>
        <w:tc>
          <w:tcPr>
            <w:tcW w:w="2790" w:type="dxa"/>
            <w:gridSpan w:val="4"/>
          </w:tcPr>
          <w:p w14:paraId="6CADA9CF" w14:textId="77777777" w:rsidR="00347BA3" w:rsidRPr="0090237D" w:rsidRDefault="00347BA3" w:rsidP="00F351DD">
            <w:pPr>
              <w:jc w:val="right"/>
              <w:rPr>
                <w:rFonts w:ascii="Times New Roman" w:eastAsia="Times New Roman" w:hAnsi="Times New Roman" w:cs="Times New Roman"/>
                <w:color w:val="auto"/>
                <w:sz w:val="24"/>
                <w:szCs w:val="24"/>
                <w:lang w:eastAsia="en-US"/>
              </w:rPr>
            </w:pPr>
          </w:p>
        </w:tc>
      </w:tr>
      <w:tr w:rsidR="00347BA3" w:rsidRPr="0090237D" w14:paraId="2A4C2D80" w14:textId="77777777" w:rsidTr="005E795E">
        <w:tc>
          <w:tcPr>
            <w:tcW w:w="5310" w:type="dxa"/>
            <w:gridSpan w:val="3"/>
          </w:tcPr>
          <w:p w14:paraId="22B1F1DB" w14:textId="13AA22EF" w:rsidR="00347BA3" w:rsidRPr="0090237D" w:rsidRDefault="00CB229F" w:rsidP="00347BA3">
            <w:pPr>
              <w:pStyle w:val="Paragraphedeliste"/>
              <w:numPr>
                <w:ilvl w:val="0"/>
                <w:numId w:val="30"/>
              </w:numPr>
              <w:spacing w:line="240" w:lineRule="auto"/>
              <w:ind w:left="617"/>
              <w:rPr>
                <w:rFonts w:ascii="Times New Roman" w:eastAsia="Times New Roman" w:hAnsi="Times New Roman" w:cs="Times New Roman"/>
                <w:sz w:val="24"/>
                <w:szCs w:val="24"/>
              </w:rPr>
            </w:pPr>
            <w:r w:rsidRPr="0090237D">
              <w:rPr>
                <w:rFonts w:ascii="Calibri" w:hAnsi="Calibri"/>
                <w:sz w:val="24"/>
                <w:szCs w:val="24"/>
              </w:rPr>
              <w:t>Boîte aux lettres de Postes Canada et frais postaux</w:t>
            </w:r>
          </w:p>
        </w:tc>
        <w:tc>
          <w:tcPr>
            <w:tcW w:w="1321" w:type="dxa"/>
            <w:gridSpan w:val="4"/>
          </w:tcPr>
          <w:p w14:paraId="1F9824D8" w14:textId="77777777" w:rsidR="00347BA3" w:rsidRPr="0090237D" w:rsidRDefault="00347BA3" w:rsidP="00F351DD">
            <w:pPr>
              <w:jc w:val="right"/>
              <w:rPr>
                <w:rFonts w:ascii="Calibri" w:eastAsia="Calibri" w:hAnsi="Calibri" w:cs="Times New Roman"/>
                <w:color w:val="auto"/>
                <w:sz w:val="24"/>
                <w:szCs w:val="24"/>
              </w:rPr>
            </w:pPr>
            <w:r w:rsidRPr="0090237D">
              <w:rPr>
                <w:rFonts w:ascii="Calibri" w:hAnsi="Calibri"/>
                <w:color w:val="auto"/>
                <w:sz w:val="24"/>
                <w:szCs w:val="24"/>
              </w:rPr>
              <w:t>308,78</w:t>
            </w:r>
          </w:p>
        </w:tc>
        <w:tc>
          <w:tcPr>
            <w:tcW w:w="2790" w:type="dxa"/>
            <w:gridSpan w:val="4"/>
          </w:tcPr>
          <w:p w14:paraId="2ACA347B" w14:textId="77777777" w:rsidR="00347BA3" w:rsidRPr="0090237D" w:rsidRDefault="00347BA3" w:rsidP="00F351DD">
            <w:pPr>
              <w:jc w:val="right"/>
              <w:rPr>
                <w:rFonts w:ascii="Times New Roman" w:eastAsia="Times New Roman" w:hAnsi="Times New Roman" w:cs="Times New Roman"/>
                <w:color w:val="auto"/>
                <w:sz w:val="24"/>
                <w:szCs w:val="24"/>
                <w:lang w:eastAsia="en-US"/>
              </w:rPr>
            </w:pPr>
          </w:p>
        </w:tc>
      </w:tr>
      <w:tr w:rsidR="005E795E" w:rsidRPr="0090237D" w14:paraId="085981E6" w14:textId="77777777" w:rsidTr="005E795E">
        <w:tc>
          <w:tcPr>
            <w:tcW w:w="5310" w:type="dxa"/>
            <w:gridSpan w:val="3"/>
          </w:tcPr>
          <w:p w14:paraId="477A40AC" w14:textId="5BBC8035" w:rsidR="005E795E" w:rsidRPr="0090237D" w:rsidRDefault="00CB229F" w:rsidP="00347BA3">
            <w:pPr>
              <w:pStyle w:val="Paragraphedeliste"/>
              <w:numPr>
                <w:ilvl w:val="0"/>
                <w:numId w:val="30"/>
              </w:numPr>
              <w:spacing w:line="240" w:lineRule="auto"/>
              <w:ind w:left="617"/>
              <w:rPr>
                <w:rFonts w:ascii="Calibri" w:eastAsia="Calibri" w:hAnsi="Calibri" w:cs="Times New Roman"/>
                <w:sz w:val="24"/>
                <w:szCs w:val="24"/>
              </w:rPr>
            </w:pPr>
            <w:r w:rsidRPr="0090237D">
              <w:t>Équipement de conservation et évaluations</w:t>
            </w:r>
          </w:p>
        </w:tc>
        <w:tc>
          <w:tcPr>
            <w:tcW w:w="1321" w:type="dxa"/>
            <w:gridSpan w:val="4"/>
          </w:tcPr>
          <w:p w14:paraId="380FD0AA" w14:textId="77777777" w:rsidR="005E795E" w:rsidRPr="0090237D" w:rsidRDefault="005E795E" w:rsidP="00F351DD">
            <w:pPr>
              <w:jc w:val="right"/>
              <w:rPr>
                <w:rFonts w:ascii="Calibri" w:eastAsia="Calibri" w:hAnsi="Calibri" w:cs="Times New Roman"/>
                <w:color w:val="auto"/>
                <w:sz w:val="24"/>
                <w:szCs w:val="24"/>
              </w:rPr>
            </w:pPr>
            <w:r w:rsidRPr="0090237D">
              <w:rPr>
                <w:rFonts w:ascii="Calibri" w:hAnsi="Calibri"/>
                <w:color w:val="auto"/>
                <w:sz w:val="24"/>
                <w:szCs w:val="24"/>
              </w:rPr>
              <w:t>3 685,00</w:t>
            </w:r>
          </w:p>
        </w:tc>
        <w:tc>
          <w:tcPr>
            <w:tcW w:w="2790" w:type="dxa"/>
            <w:gridSpan w:val="4"/>
          </w:tcPr>
          <w:p w14:paraId="51C4DCDA" w14:textId="77777777" w:rsidR="005E795E" w:rsidRPr="0090237D" w:rsidRDefault="005E795E" w:rsidP="00F351DD">
            <w:pPr>
              <w:jc w:val="right"/>
              <w:rPr>
                <w:rFonts w:ascii="Times New Roman" w:eastAsia="Times New Roman" w:hAnsi="Times New Roman" w:cs="Times New Roman"/>
                <w:color w:val="auto"/>
                <w:sz w:val="24"/>
                <w:szCs w:val="24"/>
              </w:rPr>
            </w:pPr>
            <w:r w:rsidRPr="0090237D">
              <w:rPr>
                <w:rFonts w:ascii="Calibri" w:hAnsi="Calibri"/>
                <w:color w:val="auto"/>
                <w:sz w:val="24"/>
                <w:szCs w:val="24"/>
              </w:rPr>
              <w:t>71 506,80 $</w:t>
            </w:r>
          </w:p>
        </w:tc>
      </w:tr>
      <w:tr w:rsidR="005E795E" w:rsidRPr="0090237D" w14:paraId="3ED73FD0" w14:textId="77777777" w:rsidTr="005E795E">
        <w:tc>
          <w:tcPr>
            <w:tcW w:w="5310" w:type="dxa"/>
            <w:gridSpan w:val="3"/>
          </w:tcPr>
          <w:p w14:paraId="6CD8FAD7" w14:textId="77777777" w:rsidR="005E795E" w:rsidRPr="0090237D" w:rsidRDefault="005E795E" w:rsidP="005E795E">
            <w:pPr>
              <w:rPr>
                <w:rFonts w:ascii="Calibri" w:eastAsia="Calibri" w:hAnsi="Calibri" w:cs="Times New Roman"/>
                <w:color w:val="auto"/>
                <w:sz w:val="24"/>
                <w:szCs w:val="24"/>
              </w:rPr>
            </w:pPr>
          </w:p>
        </w:tc>
        <w:tc>
          <w:tcPr>
            <w:tcW w:w="1321" w:type="dxa"/>
            <w:gridSpan w:val="4"/>
          </w:tcPr>
          <w:p w14:paraId="5B1C0357" w14:textId="77777777" w:rsidR="005E795E" w:rsidRPr="0090237D" w:rsidRDefault="005E795E" w:rsidP="00F351DD">
            <w:pPr>
              <w:jc w:val="right"/>
              <w:rPr>
                <w:rFonts w:ascii="Calibri" w:eastAsia="Calibri" w:hAnsi="Calibri" w:cs="Times New Roman"/>
                <w:color w:val="auto"/>
                <w:sz w:val="24"/>
                <w:szCs w:val="24"/>
                <w:lang w:eastAsia="en-US"/>
              </w:rPr>
            </w:pPr>
          </w:p>
        </w:tc>
        <w:tc>
          <w:tcPr>
            <w:tcW w:w="2790" w:type="dxa"/>
            <w:gridSpan w:val="4"/>
          </w:tcPr>
          <w:p w14:paraId="5CB8F68C" w14:textId="77777777" w:rsidR="005E795E" w:rsidRPr="0090237D" w:rsidRDefault="005E795E" w:rsidP="00F351DD">
            <w:pPr>
              <w:jc w:val="right"/>
              <w:rPr>
                <w:rFonts w:ascii="Times New Roman" w:eastAsia="Times New Roman" w:hAnsi="Times New Roman" w:cs="Times New Roman"/>
                <w:color w:val="auto"/>
                <w:sz w:val="24"/>
                <w:szCs w:val="24"/>
                <w:lang w:eastAsia="en-US"/>
              </w:rPr>
            </w:pPr>
          </w:p>
        </w:tc>
      </w:tr>
      <w:tr w:rsidR="005E795E" w:rsidRPr="0090237D" w14:paraId="033DF16A" w14:textId="77777777" w:rsidTr="005E795E">
        <w:tc>
          <w:tcPr>
            <w:tcW w:w="5310" w:type="dxa"/>
            <w:gridSpan w:val="3"/>
          </w:tcPr>
          <w:p w14:paraId="62B7D811" w14:textId="77777777" w:rsidR="005E795E" w:rsidRPr="0090237D" w:rsidRDefault="005E795E" w:rsidP="005E795E">
            <w:pPr>
              <w:rPr>
                <w:rFonts w:ascii="Calibri" w:eastAsia="Calibri" w:hAnsi="Calibri" w:cs="Times New Roman"/>
                <w:color w:val="auto"/>
                <w:sz w:val="24"/>
                <w:szCs w:val="24"/>
              </w:rPr>
            </w:pPr>
          </w:p>
        </w:tc>
        <w:tc>
          <w:tcPr>
            <w:tcW w:w="1321" w:type="dxa"/>
            <w:gridSpan w:val="4"/>
          </w:tcPr>
          <w:p w14:paraId="41E8E548" w14:textId="77777777" w:rsidR="005E795E" w:rsidRPr="0090237D" w:rsidRDefault="005E795E" w:rsidP="00F351DD">
            <w:pPr>
              <w:jc w:val="right"/>
              <w:rPr>
                <w:rFonts w:ascii="Calibri" w:eastAsia="Calibri" w:hAnsi="Calibri" w:cs="Times New Roman"/>
                <w:color w:val="auto"/>
                <w:sz w:val="24"/>
                <w:szCs w:val="24"/>
                <w:lang w:eastAsia="en-US"/>
              </w:rPr>
            </w:pPr>
          </w:p>
        </w:tc>
        <w:tc>
          <w:tcPr>
            <w:tcW w:w="2790" w:type="dxa"/>
            <w:gridSpan w:val="4"/>
          </w:tcPr>
          <w:p w14:paraId="1EB0E495" w14:textId="77777777" w:rsidR="005E795E" w:rsidRPr="0090237D" w:rsidRDefault="005E795E" w:rsidP="00F351DD">
            <w:pPr>
              <w:jc w:val="right"/>
              <w:rPr>
                <w:rFonts w:ascii="Times New Roman" w:eastAsia="Times New Roman" w:hAnsi="Times New Roman" w:cs="Times New Roman"/>
                <w:color w:val="auto"/>
                <w:sz w:val="24"/>
                <w:szCs w:val="24"/>
                <w:lang w:eastAsia="en-US"/>
              </w:rPr>
            </w:pPr>
          </w:p>
        </w:tc>
      </w:tr>
      <w:tr w:rsidR="005E795E" w:rsidRPr="0090237D" w14:paraId="7E5A1DC8" w14:textId="77777777" w:rsidTr="005E795E">
        <w:tc>
          <w:tcPr>
            <w:tcW w:w="5310" w:type="dxa"/>
            <w:gridSpan w:val="3"/>
          </w:tcPr>
          <w:p w14:paraId="7A631558" w14:textId="703FAB0C" w:rsidR="00977343" w:rsidRPr="0090237D" w:rsidRDefault="00CB229F" w:rsidP="005E795E">
            <w:pPr>
              <w:rPr>
                <w:color w:val="auto"/>
              </w:rPr>
            </w:pPr>
            <w:r w:rsidRPr="0090237D">
              <w:rPr>
                <w:rFonts w:ascii="Times New Roman" w:hAnsi="Times New Roman"/>
                <w:color w:val="auto"/>
                <w:sz w:val="24"/>
                <w:szCs w:val="24"/>
              </w:rPr>
              <w:t>Total des dépenses</w:t>
            </w:r>
          </w:p>
        </w:tc>
        <w:tc>
          <w:tcPr>
            <w:tcW w:w="2430" w:type="dxa"/>
            <w:gridSpan w:val="6"/>
          </w:tcPr>
          <w:p w14:paraId="4636C6C2" w14:textId="77777777" w:rsidR="005E795E" w:rsidRPr="0090237D" w:rsidRDefault="005E795E" w:rsidP="00F351DD">
            <w:pPr>
              <w:jc w:val="right"/>
              <w:rPr>
                <w:rFonts w:ascii="Calibri" w:eastAsia="Calibri" w:hAnsi="Calibri" w:cs="Times New Roman"/>
                <w:color w:val="auto"/>
                <w:sz w:val="24"/>
                <w:szCs w:val="24"/>
              </w:rPr>
            </w:pPr>
            <w:r w:rsidRPr="0090237D">
              <w:rPr>
                <w:rFonts w:ascii="Calibri" w:hAnsi="Calibri"/>
                <w:color w:val="auto"/>
                <w:sz w:val="24"/>
                <w:szCs w:val="24"/>
              </w:rPr>
              <w:t>83 111,89 $</w:t>
            </w:r>
          </w:p>
        </w:tc>
        <w:tc>
          <w:tcPr>
            <w:tcW w:w="1681" w:type="dxa"/>
            <w:gridSpan w:val="2"/>
          </w:tcPr>
          <w:p w14:paraId="3E73DFB6" w14:textId="77777777" w:rsidR="005E795E" w:rsidRPr="0090237D" w:rsidRDefault="005E795E" w:rsidP="00F351DD">
            <w:pPr>
              <w:jc w:val="right"/>
              <w:rPr>
                <w:rFonts w:ascii="Times New Roman" w:eastAsia="Times New Roman" w:hAnsi="Times New Roman" w:cs="Times New Roman"/>
                <w:color w:val="auto"/>
                <w:sz w:val="24"/>
                <w:szCs w:val="24"/>
                <w:lang w:eastAsia="en-US"/>
              </w:rPr>
            </w:pPr>
          </w:p>
        </w:tc>
      </w:tr>
      <w:tr w:rsidR="005E795E" w:rsidRPr="0090237D" w14:paraId="0207C927" w14:textId="77777777" w:rsidTr="005E795E">
        <w:tc>
          <w:tcPr>
            <w:tcW w:w="5310" w:type="dxa"/>
            <w:gridSpan w:val="3"/>
          </w:tcPr>
          <w:p w14:paraId="62358B99" w14:textId="77777777" w:rsidR="005E795E" w:rsidRPr="0090237D" w:rsidRDefault="005E795E" w:rsidP="005E795E">
            <w:pPr>
              <w:rPr>
                <w:rFonts w:ascii="Times New Roman" w:eastAsia="Times New Roman" w:hAnsi="Times New Roman" w:cs="Times New Roman"/>
                <w:color w:val="auto"/>
                <w:sz w:val="24"/>
                <w:szCs w:val="24"/>
                <w:lang w:eastAsia="en-US"/>
              </w:rPr>
            </w:pPr>
          </w:p>
        </w:tc>
        <w:tc>
          <w:tcPr>
            <w:tcW w:w="2430" w:type="dxa"/>
            <w:gridSpan w:val="6"/>
          </w:tcPr>
          <w:p w14:paraId="3B3955DB" w14:textId="77777777" w:rsidR="005E795E" w:rsidRPr="0090237D" w:rsidRDefault="005E795E" w:rsidP="00F351DD">
            <w:pPr>
              <w:jc w:val="right"/>
              <w:rPr>
                <w:rFonts w:ascii="Calibri" w:eastAsia="Calibri" w:hAnsi="Calibri" w:cs="Times New Roman"/>
                <w:color w:val="auto"/>
                <w:sz w:val="24"/>
                <w:szCs w:val="24"/>
                <w:lang w:eastAsia="en-US"/>
              </w:rPr>
            </w:pPr>
          </w:p>
        </w:tc>
        <w:tc>
          <w:tcPr>
            <w:tcW w:w="1681" w:type="dxa"/>
            <w:gridSpan w:val="2"/>
          </w:tcPr>
          <w:p w14:paraId="219F9444" w14:textId="77777777" w:rsidR="005E795E" w:rsidRPr="0090237D" w:rsidRDefault="005E795E" w:rsidP="00F351DD">
            <w:pPr>
              <w:jc w:val="right"/>
              <w:rPr>
                <w:rFonts w:ascii="Times New Roman" w:eastAsia="Times New Roman" w:hAnsi="Times New Roman" w:cs="Times New Roman"/>
                <w:color w:val="auto"/>
                <w:sz w:val="24"/>
                <w:szCs w:val="24"/>
                <w:lang w:eastAsia="en-US"/>
              </w:rPr>
            </w:pPr>
          </w:p>
        </w:tc>
      </w:tr>
      <w:tr w:rsidR="005E795E" w:rsidRPr="0090237D" w14:paraId="31E3C0FC" w14:textId="77777777" w:rsidTr="00E24AD6">
        <w:tc>
          <w:tcPr>
            <w:tcW w:w="6300" w:type="dxa"/>
            <w:gridSpan w:val="6"/>
          </w:tcPr>
          <w:p w14:paraId="7FBC857A" w14:textId="272D442C" w:rsidR="005E795E" w:rsidRPr="0090237D" w:rsidRDefault="00CB229F" w:rsidP="005E795E">
            <w:pPr>
              <w:rPr>
                <w:rFonts w:ascii="Times New Roman" w:eastAsia="Times New Roman" w:hAnsi="Times New Roman" w:cs="Times New Roman"/>
                <w:color w:val="auto"/>
                <w:sz w:val="24"/>
                <w:szCs w:val="24"/>
              </w:rPr>
            </w:pPr>
            <w:r w:rsidRPr="0090237D">
              <w:rPr>
                <w:rFonts w:ascii="Times New Roman" w:hAnsi="Times New Roman"/>
                <w:color w:val="auto"/>
                <w:sz w:val="24"/>
                <w:szCs w:val="24"/>
              </w:rPr>
              <w:t>Montants à payer (chèques pas encore encaissés en date du 1</w:t>
            </w:r>
            <w:r w:rsidRPr="0090237D">
              <w:rPr>
                <w:rFonts w:ascii="Times New Roman" w:hAnsi="Times New Roman"/>
                <w:color w:val="auto"/>
                <w:sz w:val="24"/>
                <w:szCs w:val="24"/>
                <w:vertAlign w:val="superscript"/>
              </w:rPr>
              <w:t>er</w:t>
            </w:r>
            <w:r w:rsidRPr="0090237D">
              <w:rPr>
                <w:rFonts w:ascii="Times New Roman" w:hAnsi="Times New Roman"/>
                <w:color w:val="auto"/>
                <w:sz w:val="24"/>
                <w:szCs w:val="24"/>
              </w:rPr>
              <w:t> avril 2019)</w:t>
            </w:r>
          </w:p>
        </w:tc>
        <w:tc>
          <w:tcPr>
            <w:tcW w:w="1440" w:type="dxa"/>
            <w:gridSpan w:val="3"/>
          </w:tcPr>
          <w:p w14:paraId="7E598EE2" w14:textId="2A62A4F5" w:rsidR="005E795E" w:rsidRPr="0090237D" w:rsidRDefault="005E795E" w:rsidP="00F351DD">
            <w:pPr>
              <w:jc w:val="right"/>
              <w:rPr>
                <w:rFonts w:ascii="Calibri" w:eastAsia="Calibri" w:hAnsi="Calibri" w:cs="Times New Roman"/>
                <w:color w:val="auto"/>
                <w:sz w:val="24"/>
                <w:szCs w:val="24"/>
              </w:rPr>
            </w:pPr>
            <w:r w:rsidRPr="0090237D">
              <w:rPr>
                <w:rFonts w:ascii="Times New Roman" w:hAnsi="Times New Roman"/>
                <w:color w:val="auto"/>
                <w:sz w:val="24"/>
                <w:szCs w:val="24"/>
              </w:rPr>
              <w:t>-32 802,49</w:t>
            </w:r>
          </w:p>
        </w:tc>
        <w:tc>
          <w:tcPr>
            <w:tcW w:w="1681" w:type="dxa"/>
            <w:gridSpan w:val="2"/>
          </w:tcPr>
          <w:p w14:paraId="4CCB64B8" w14:textId="77777777" w:rsidR="005E795E" w:rsidRPr="0090237D" w:rsidRDefault="005E795E" w:rsidP="00F351DD">
            <w:pPr>
              <w:jc w:val="right"/>
              <w:rPr>
                <w:rFonts w:ascii="Times New Roman" w:eastAsia="Times New Roman" w:hAnsi="Times New Roman" w:cs="Times New Roman"/>
                <w:color w:val="auto"/>
                <w:sz w:val="24"/>
                <w:szCs w:val="24"/>
                <w:lang w:eastAsia="en-US"/>
              </w:rPr>
            </w:pPr>
          </w:p>
        </w:tc>
      </w:tr>
      <w:tr w:rsidR="005E795E" w:rsidRPr="0090237D" w14:paraId="6DAE640B" w14:textId="77777777" w:rsidTr="005E795E">
        <w:tc>
          <w:tcPr>
            <w:tcW w:w="5310" w:type="dxa"/>
            <w:gridSpan w:val="3"/>
          </w:tcPr>
          <w:p w14:paraId="096F4ABB" w14:textId="77777777" w:rsidR="005E795E" w:rsidRPr="0090237D" w:rsidRDefault="005E795E" w:rsidP="005E795E">
            <w:pPr>
              <w:rPr>
                <w:rFonts w:ascii="Times New Roman" w:eastAsia="Times New Roman" w:hAnsi="Times New Roman" w:cs="Times New Roman"/>
                <w:color w:val="auto"/>
                <w:sz w:val="24"/>
                <w:szCs w:val="24"/>
                <w:lang w:eastAsia="en-US"/>
              </w:rPr>
            </w:pPr>
          </w:p>
        </w:tc>
        <w:tc>
          <w:tcPr>
            <w:tcW w:w="3420" w:type="dxa"/>
            <w:gridSpan w:val="7"/>
          </w:tcPr>
          <w:p w14:paraId="0D92B0D8" w14:textId="77777777" w:rsidR="005E795E" w:rsidRPr="0090237D" w:rsidRDefault="005E795E" w:rsidP="00F351DD">
            <w:pPr>
              <w:jc w:val="right"/>
              <w:rPr>
                <w:rFonts w:ascii="Calibri" w:eastAsia="Calibri" w:hAnsi="Calibri" w:cs="Times New Roman"/>
                <w:color w:val="auto"/>
                <w:sz w:val="24"/>
                <w:szCs w:val="24"/>
                <w:lang w:eastAsia="en-US"/>
              </w:rPr>
            </w:pPr>
          </w:p>
        </w:tc>
        <w:tc>
          <w:tcPr>
            <w:tcW w:w="691" w:type="dxa"/>
          </w:tcPr>
          <w:p w14:paraId="4F96F7D4" w14:textId="77777777" w:rsidR="005E795E" w:rsidRPr="0090237D" w:rsidRDefault="005E795E" w:rsidP="00F351DD">
            <w:pPr>
              <w:jc w:val="right"/>
              <w:rPr>
                <w:rFonts w:ascii="Times New Roman" w:eastAsia="Times New Roman" w:hAnsi="Times New Roman" w:cs="Times New Roman"/>
                <w:color w:val="auto"/>
                <w:sz w:val="24"/>
                <w:szCs w:val="24"/>
                <w:lang w:eastAsia="en-US"/>
              </w:rPr>
            </w:pPr>
          </w:p>
        </w:tc>
      </w:tr>
      <w:tr w:rsidR="005E795E" w:rsidRPr="0090237D" w14:paraId="64B20574" w14:textId="77777777" w:rsidTr="005E795E">
        <w:tc>
          <w:tcPr>
            <w:tcW w:w="5310" w:type="dxa"/>
            <w:gridSpan w:val="3"/>
          </w:tcPr>
          <w:p w14:paraId="5640E6A4" w14:textId="77777777" w:rsidR="005E795E" w:rsidRPr="0090237D" w:rsidRDefault="005E795E" w:rsidP="005E795E">
            <w:pPr>
              <w:rPr>
                <w:rFonts w:ascii="Times New Roman" w:eastAsia="Times New Roman" w:hAnsi="Times New Roman" w:cs="Times New Roman"/>
                <w:color w:val="auto"/>
                <w:sz w:val="24"/>
                <w:szCs w:val="24"/>
                <w:lang w:eastAsia="en-US"/>
              </w:rPr>
            </w:pPr>
          </w:p>
        </w:tc>
        <w:tc>
          <w:tcPr>
            <w:tcW w:w="3420" w:type="dxa"/>
            <w:gridSpan w:val="7"/>
          </w:tcPr>
          <w:p w14:paraId="12DD0A1B" w14:textId="77777777" w:rsidR="005E795E" w:rsidRPr="0090237D" w:rsidRDefault="005E795E" w:rsidP="00F351DD">
            <w:pPr>
              <w:jc w:val="right"/>
              <w:rPr>
                <w:rFonts w:ascii="Calibri" w:eastAsia="Calibri" w:hAnsi="Calibri" w:cs="Times New Roman"/>
                <w:color w:val="auto"/>
                <w:sz w:val="24"/>
                <w:szCs w:val="24"/>
              </w:rPr>
            </w:pPr>
            <w:r w:rsidRPr="0090237D">
              <w:rPr>
                <w:rFonts w:ascii="Times New Roman" w:hAnsi="Times New Roman"/>
                <w:color w:val="auto"/>
                <w:sz w:val="24"/>
                <w:szCs w:val="24"/>
              </w:rPr>
              <w:t>50 309,40 $</w:t>
            </w:r>
          </w:p>
        </w:tc>
        <w:tc>
          <w:tcPr>
            <w:tcW w:w="691" w:type="dxa"/>
          </w:tcPr>
          <w:p w14:paraId="44D97032" w14:textId="77777777" w:rsidR="005E795E" w:rsidRPr="0090237D" w:rsidRDefault="005E795E" w:rsidP="00F351DD">
            <w:pPr>
              <w:jc w:val="right"/>
              <w:rPr>
                <w:rFonts w:ascii="Times New Roman" w:eastAsia="Times New Roman" w:hAnsi="Times New Roman" w:cs="Times New Roman"/>
                <w:color w:val="auto"/>
                <w:sz w:val="24"/>
                <w:szCs w:val="24"/>
                <w:lang w:eastAsia="en-US"/>
              </w:rPr>
            </w:pPr>
          </w:p>
        </w:tc>
      </w:tr>
      <w:tr w:rsidR="005E795E" w:rsidRPr="0090237D" w14:paraId="2E28A3F8" w14:textId="77777777" w:rsidTr="005E795E">
        <w:tc>
          <w:tcPr>
            <w:tcW w:w="5310" w:type="dxa"/>
            <w:gridSpan w:val="3"/>
          </w:tcPr>
          <w:p w14:paraId="1C88246F" w14:textId="77777777" w:rsidR="005E795E" w:rsidRPr="0090237D" w:rsidRDefault="005E795E" w:rsidP="005E795E">
            <w:pPr>
              <w:rPr>
                <w:rFonts w:ascii="Times New Roman" w:eastAsia="Times New Roman" w:hAnsi="Times New Roman" w:cs="Times New Roman"/>
                <w:color w:val="auto"/>
                <w:sz w:val="24"/>
                <w:szCs w:val="24"/>
                <w:lang w:eastAsia="en-US"/>
              </w:rPr>
            </w:pPr>
          </w:p>
        </w:tc>
        <w:tc>
          <w:tcPr>
            <w:tcW w:w="3420" w:type="dxa"/>
            <w:gridSpan w:val="7"/>
          </w:tcPr>
          <w:p w14:paraId="2DEA8261" w14:textId="77777777" w:rsidR="005E795E" w:rsidRPr="0090237D" w:rsidRDefault="005E795E" w:rsidP="00F351DD">
            <w:pPr>
              <w:jc w:val="right"/>
              <w:rPr>
                <w:rFonts w:ascii="Times New Roman" w:eastAsia="Times New Roman" w:hAnsi="Times New Roman" w:cs="Times New Roman"/>
                <w:color w:val="auto"/>
                <w:sz w:val="24"/>
                <w:szCs w:val="24"/>
                <w:lang w:eastAsia="en-US"/>
              </w:rPr>
            </w:pPr>
          </w:p>
        </w:tc>
        <w:tc>
          <w:tcPr>
            <w:tcW w:w="691" w:type="dxa"/>
          </w:tcPr>
          <w:p w14:paraId="189884BA" w14:textId="77777777" w:rsidR="005E795E" w:rsidRPr="0090237D" w:rsidRDefault="005E795E" w:rsidP="00F351DD">
            <w:pPr>
              <w:jc w:val="right"/>
              <w:rPr>
                <w:rFonts w:ascii="Times New Roman" w:eastAsia="Times New Roman" w:hAnsi="Times New Roman" w:cs="Times New Roman"/>
                <w:color w:val="auto"/>
                <w:sz w:val="24"/>
                <w:szCs w:val="24"/>
                <w:lang w:eastAsia="en-US"/>
              </w:rPr>
            </w:pPr>
          </w:p>
        </w:tc>
      </w:tr>
      <w:tr w:rsidR="005E795E" w:rsidRPr="0090237D" w14:paraId="23C51FEE" w14:textId="77777777" w:rsidTr="005E795E">
        <w:tc>
          <w:tcPr>
            <w:tcW w:w="5310" w:type="dxa"/>
            <w:gridSpan w:val="3"/>
          </w:tcPr>
          <w:p w14:paraId="6827371C" w14:textId="77777777" w:rsidR="005E795E" w:rsidRPr="0090237D" w:rsidRDefault="005E795E" w:rsidP="005E795E">
            <w:pPr>
              <w:rPr>
                <w:rFonts w:ascii="Times New Roman" w:eastAsia="Times New Roman" w:hAnsi="Times New Roman" w:cs="Times New Roman"/>
                <w:color w:val="auto"/>
                <w:sz w:val="24"/>
                <w:szCs w:val="24"/>
                <w:lang w:eastAsia="en-US"/>
              </w:rPr>
            </w:pPr>
          </w:p>
        </w:tc>
        <w:tc>
          <w:tcPr>
            <w:tcW w:w="3420" w:type="dxa"/>
            <w:gridSpan w:val="7"/>
          </w:tcPr>
          <w:p w14:paraId="437A1B17" w14:textId="77777777" w:rsidR="005E795E" w:rsidRPr="0090237D" w:rsidRDefault="005E795E" w:rsidP="00F351DD">
            <w:pPr>
              <w:jc w:val="right"/>
              <w:rPr>
                <w:rFonts w:ascii="Times New Roman" w:eastAsia="Times New Roman" w:hAnsi="Times New Roman" w:cs="Times New Roman"/>
                <w:color w:val="auto"/>
                <w:sz w:val="24"/>
                <w:szCs w:val="24"/>
                <w:lang w:eastAsia="en-US"/>
              </w:rPr>
            </w:pPr>
          </w:p>
        </w:tc>
        <w:tc>
          <w:tcPr>
            <w:tcW w:w="691" w:type="dxa"/>
          </w:tcPr>
          <w:p w14:paraId="3E6E2D1A" w14:textId="77777777" w:rsidR="005E795E" w:rsidRPr="0090237D" w:rsidRDefault="005E795E" w:rsidP="00F351DD">
            <w:pPr>
              <w:jc w:val="right"/>
              <w:rPr>
                <w:rFonts w:ascii="Times New Roman" w:eastAsia="Times New Roman" w:hAnsi="Times New Roman" w:cs="Times New Roman"/>
                <w:color w:val="auto"/>
                <w:sz w:val="24"/>
                <w:szCs w:val="24"/>
                <w:lang w:eastAsia="en-US"/>
              </w:rPr>
            </w:pPr>
          </w:p>
        </w:tc>
      </w:tr>
      <w:tr w:rsidR="005E795E" w:rsidRPr="0090237D" w14:paraId="4AB850EF" w14:textId="77777777" w:rsidTr="005E795E">
        <w:tc>
          <w:tcPr>
            <w:tcW w:w="5310" w:type="dxa"/>
            <w:gridSpan w:val="3"/>
          </w:tcPr>
          <w:p w14:paraId="5C66AD00" w14:textId="4326E687" w:rsidR="005E795E" w:rsidRPr="0090237D" w:rsidRDefault="00CB229F" w:rsidP="005E795E">
            <w:pPr>
              <w:rPr>
                <w:rFonts w:ascii="Times New Roman" w:eastAsia="Times New Roman" w:hAnsi="Times New Roman" w:cs="Times New Roman"/>
                <w:color w:val="auto"/>
                <w:sz w:val="24"/>
                <w:szCs w:val="24"/>
              </w:rPr>
            </w:pPr>
            <w:r w:rsidRPr="0090237D">
              <w:rPr>
                <w:rFonts w:ascii="Times New Roman" w:hAnsi="Times New Roman"/>
                <w:b/>
                <w:color w:val="auto"/>
                <w:sz w:val="24"/>
                <w:szCs w:val="24"/>
              </w:rPr>
              <w:t>Solde de clotûre au 31 mars 2019</w:t>
            </w:r>
          </w:p>
        </w:tc>
        <w:tc>
          <w:tcPr>
            <w:tcW w:w="3420" w:type="dxa"/>
            <w:gridSpan w:val="7"/>
          </w:tcPr>
          <w:p w14:paraId="6A07B409" w14:textId="77777777" w:rsidR="005E795E" w:rsidRPr="0090237D" w:rsidRDefault="005E795E" w:rsidP="00F351DD">
            <w:pPr>
              <w:jc w:val="right"/>
              <w:rPr>
                <w:rFonts w:ascii="Times New Roman" w:eastAsia="Times New Roman" w:hAnsi="Times New Roman" w:cs="Times New Roman"/>
                <w:color w:val="auto"/>
                <w:sz w:val="24"/>
                <w:szCs w:val="24"/>
              </w:rPr>
            </w:pPr>
            <w:r w:rsidRPr="0090237D">
              <w:rPr>
                <w:rFonts w:ascii="Times New Roman" w:hAnsi="Times New Roman"/>
                <w:b/>
                <w:color w:val="auto"/>
                <w:sz w:val="24"/>
                <w:szCs w:val="24"/>
              </w:rPr>
              <w:t>59 390,22 $</w:t>
            </w:r>
          </w:p>
        </w:tc>
        <w:tc>
          <w:tcPr>
            <w:tcW w:w="691" w:type="dxa"/>
          </w:tcPr>
          <w:p w14:paraId="4492B1B5" w14:textId="77777777" w:rsidR="005E795E" w:rsidRPr="0090237D" w:rsidRDefault="005E795E" w:rsidP="00F351DD">
            <w:pPr>
              <w:jc w:val="right"/>
              <w:rPr>
                <w:rFonts w:ascii="Times New Roman" w:eastAsia="Times New Roman" w:hAnsi="Times New Roman" w:cs="Times New Roman"/>
                <w:color w:val="auto"/>
                <w:sz w:val="24"/>
                <w:szCs w:val="24"/>
                <w:lang w:eastAsia="en-US"/>
              </w:rPr>
            </w:pPr>
          </w:p>
        </w:tc>
      </w:tr>
    </w:tbl>
    <w:p w14:paraId="1C05B50C" w14:textId="77777777" w:rsidR="00E719EC" w:rsidRPr="0090237D" w:rsidRDefault="00E719EC" w:rsidP="00E719EC">
      <w:pPr>
        <w:spacing w:before="0" w:after="0" w:line="240" w:lineRule="auto"/>
        <w:rPr>
          <w:rFonts w:ascii="Times New Roman" w:eastAsia="Times New Roman" w:hAnsi="Times New Roman" w:cs="Times New Roman"/>
          <w:color w:val="auto"/>
          <w:sz w:val="24"/>
          <w:szCs w:val="24"/>
          <w:lang w:eastAsia="en-US"/>
        </w:rPr>
      </w:pPr>
    </w:p>
    <w:p w14:paraId="21FF4722" w14:textId="77777777" w:rsidR="00E719EC" w:rsidRPr="0090237D" w:rsidRDefault="00E719EC" w:rsidP="00E719EC">
      <w:pPr>
        <w:spacing w:before="0" w:after="0" w:line="240" w:lineRule="auto"/>
        <w:rPr>
          <w:rFonts w:ascii="Times New Roman" w:eastAsia="Times New Roman" w:hAnsi="Times New Roman" w:cs="Times New Roman"/>
          <w:b/>
          <w:color w:val="auto"/>
          <w:sz w:val="24"/>
          <w:szCs w:val="24"/>
        </w:rPr>
      </w:pPr>
      <w:r w:rsidRPr="0090237D">
        <w:rPr>
          <w:color w:val="auto"/>
        </w:rPr>
        <w:br w:type="page"/>
      </w:r>
    </w:p>
    <w:p w14:paraId="5958988D" w14:textId="77777777" w:rsidR="00E719EC" w:rsidRPr="0090237D" w:rsidRDefault="00E719EC" w:rsidP="00E719EC">
      <w:pPr>
        <w:spacing w:before="0" w:after="0" w:line="240" w:lineRule="auto"/>
        <w:rPr>
          <w:rFonts w:ascii="Times New Roman" w:eastAsia="Times New Roman" w:hAnsi="Times New Roman" w:cs="Times New Roman"/>
          <w:b/>
          <w:color w:val="auto"/>
          <w:sz w:val="24"/>
          <w:szCs w:val="24"/>
          <w:lang w:eastAsia="en-US"/>
        </w:rPr>
      </w:pPr>
    </w:p>
    <w:p w14:paraId="36E131B7" w14:textId="196D87C9" w:rsidR="00977343" w:rsidRPr="0090237D" w:rsidRDefault="00CB229F" w:rsidP="00E719EC">
      <w:pPr>
        <w:spacing w:before="0" w:after="0" w:line="240" w:lineRule="auto"/>
        <w:jc w:val="center"/>
        <w:rPr>
          <w:color w:val="auto"/>
        </w:rPr>
      </w:pPr>
      <w:r w:rsidRPr="0090237D">
        <w:rPr>
          <w:rFonts w:ascii="Times New Roman" w:hAnsi="Times New Roman"/>
          <w:b/>
          <w:color w:val="auto"/>
          <w:sz w:val="24"/>
          <w:szCs w:val="24"/>
        </w:rPr>
        <w:t>Banque de Montréal</w:t>
      </w:r>
    </w:p>
    <w:p w14:paraId="783D00CF" w14:textId="77777777" w:rsidR="00E719EC" w:rsidRPr="0090237D" w:rsidRDefault="00E719EC" w:rsidP="00E719EC">
      <w:pPr>
        <w:spacing w:before="0" w:after="0" w:line="240" w:lineRule="auto"/>
        <w:jc w:val="center"/>
        <w:rPr>
          <w:rFonts w:ascii="Times New Roman" w:eastAsia="Times New Roman" w:hAnsi="Times New Roman" w:cs="Times New Roman"/>
          <w:b/>
          <w:color w:val="auto"/>
          <w:sz w:val="24"/>
          <w:szCs w:val="24"/>
          <w:lang w:eastAsia="en-US"/>
        </w:rPr>
      </w:pPr>
    </w:p>
    <w:p w14:paraId="57550267" w14:textId="35F2D9CB" w:rsidR="00977343" w:rsidRPr="0090237D" w:rsidRDefault="00CB229F" w:rsidP="00E719EC">
      <w:pPr>
        <w:spacing w:before="0" w:after="0" w:line="240" w:lineRule="auto"/>
        <w:jc w:val="center"/>
        <w:rPr>
          <w:color w:val="auto"/>
        </w:rPr>
      </w:pPr>
      <w:r w:rsidRPr="0090237D">
        <w:rPr>
          <w:rFonts w:ascii="Times New Roman" w:hAnsi="Times New Roman"/>
          <w:b/>
          <w:color w:val="auto"/>
          <w:sz w:val="24"/>
          <w:szCs w:val="24"/>
        </w:rPr>
        <w:t>Investissements à terme</w:t>
      </w:r>
    </w:p>
    <w:p w14:paraId="734A1756" w14:textId="2FD7C5AD" w:rsidR="00977343" w:rsidRPr="0090237D" w:rsidRDefault="00CB229F" w:rsidP="00E719EC">
      <w:pPr>
        <w:spacing w:before="0" w:after="0" w:line="240" w:lineRule="auto"/>
        <w:jc w:val="center"/>
        <w:rPr>
          <w:color w:val="auto"/>
        </w:rPr>
      </w:pPr>
      <w:r w:rsidRPr="0090237D">
        <w:rPr>
          <w:rFonts w:ascii="Times New Roman" w:hAnsi="Times New Roman"/>
          <w:b/>
          <w:color w:val="auto"/>
          <w:sz w:val="24"/>
          <w:szCs w:val="24"/>
        </w:rPr>
        <w:t>Du 4 février 2018 au 2 février 2019</w:t>
      </w:r>
    </w:p>
    <w:p w14:paraId="7C6E29FC" w14:textId="77777777" w:rsidR="00E719EC" w:rsidRPr="0090237D" w:rsidRDefault="00E719EC" w:rsidP="00E719EC">
      <w:pPr>
        <w:spacing w:before="0" w:after="0" w:line="240" w:lineRule="auto"/>
        <w:jc w:val="center"/>
        <w:rPr>
          <w:rFonts w:ascii="Times New Roman" w:eastAsia="Times New Roman" w:hAnsi="Times New Roman" w:cs="Times New Roman"/>
          <w:b/>
          <w:color w:val="auto"/>
          <w:sz w:val="24"/>
          <w:szCs w:val="24"/>
          <w:lang w:eastAsia="en-US"/>
        </w:rPr>
      </w:pPr>
    </w:p>
    <w:p w14:paraId="294DB08B" w14:textId="77777777" w:rsidR="00E719EC" w:rsidRPr="0090237D" w:rsidRDefault="00E719EC" w:rsidP="00E719EC">
      <w:pPr>
        <w:spacing w:before="0" w:after="0" w:line="240" w:lineRule="auto"/>
        <w:rPr>
          <w:rFonts w:ascii="Times New Roman" w:eastAsia="Times New Roman" w:hAnsi="Times New Roman" w:cs="Times New Roman"/>
          <w:color w:val="auto"/>
          <w:sz w:val="24"/>
          <w:szCs w:val="24"/>
          <w:lang w:eastAsia="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1804"/>
        <w:gridCol w:w="90"/>
        <w:gridCol w:w="996"/>
        <w:gridCol w:w="1897"/>
      </w:tblGrid>
      <w:tr w:rsidR="009F05C3" w:rsidRPr="0090237D" w14:paraId="2C0E8654" w14:textId="77777777" w:rsidTr="005A197D">
        <w:tc>
          <w:tcPr>
            <w:tcW w:w="5766" w:type="dxa"/>
            <w:gridSpan w:val="4"/>
          </w:tcPr>
          <w:p w14:paraId="247A920D" w14:textId="4038C3D3" w:rsidR="00977343" w:rsidRPr="0090237D" w:rsidRDefault="00CB229F" w:rsidP="009F05C3">
            <w:pPr>
              <w:rPr>
                <w:color w:val="auto"/>
              </w:rPr>
            </w:pPr>
            <w:r w:rsidRPr="0090237D">
              <w:rPr>
                <w:rFonts w:ascii="Times New Roman" w:hAnsi="Times New Roman"/>
                <w:color w:val="auto"/>
                <w:sz w:val="24"/>
                <w:szCs w:val="24"/>
              </w:rPr>
              <w:t>Solde d'ouverture</w:t>
            </w:r>
          </w:p>
        </w:tc>
        <w:tc>
          <w:tcPr>
            <w:tcW w:w="1897" w:type="dxa"/>
          </w:tcPr>
          <w:p w14:paraId="0D41B020" w14:textId="77777777" w:rsidR="009F05C3" w:rsidRPr="0090237D" w:rsidRDefault="009F05C3" w:rsidP="009F05C3">
            <w:pPr>
              <w:jc w:val="right"/>
              <w:rPr>
                <w:rFonts w:ascii="Times New Roman" w:eastAsia="Times New Roman" w:hAnsi="Times New Roman" w:cs="Times New Roman"/>
                <w:color w:val="auto"/>
                <w:sz w:val="24"/>
                <w:szCs w:val="24"/>
              </w:rPr>
            </w:pPr>
            <w:r w:rsidRPr="0090237D">
              <w:rPr>
                <w:rFonts w:ascii="Times New Roman" w:hAnsi="Times New Roman"/>
                <w:b/>
                <w:color w:val="auto"/>
                <w:sz w:val="24"/>
                <w:szCs w:val="24"/>
              </w:rPr>
              <w:t>6 730,37 </w:t>
            </w:r>
            <w:r w:rsidRPr="0090237D">
              <w:rPr>
                <w:rFonts w:ascii="Times New Roman" w:hAnsi="Times New Roman"/>
                <w:color w:val="auto"/>
                <w:sz w:val="24"/>
                <w:szCs w:val="24"/>
              </w:rPr>
              <w:t>$</w:t>
            </w:r>
          </w:p>
        </w:tc>
      </w:tr>
      <w:tr w:rsidR="009F05C3" w:rsidRPr="0090237D" w14:paraId="4218D5F7" w14:textId="77777777" w:rsidTr="005A197D">
        <w:tc>
          <w:tcPr>
            <w:tcW w:w="5766" w:type="dxa"/>
            <w:gridSpan w:val="4"/>
          </w:tcPr>
          <w:p w14:paraId="44442207" w14:textId="053A094E" w:rsidR="00977343" w:rsidRPr="0090237D" w:rsidRDefault="00CB229F" w:rsidP="009F05C3">
            <w:pPr>
              <w:rPr>
                <w:color w:val="auto"/>
                <w:lang w:val="en-CA"/>
              </w:rPr>
            </w:pPr>
            <w:r w:rsidRPr="0090237D">
              <w:rPr>
                <w:rFonts w:ascii="Times New Roman" w:hAnsi="Times New Roman"/>
                <w:color w:val="auto"/>
                <w:sz w:val="24"/>
                <w:szCs w:val="24"/>
                <w:lang w:val="en-CA"/>
              </w:rPr>
              <w:t>Date d’échéance : 22 juillet 2019</w:t>
            </w:r>
          </w:p>
        </w:tc>
        <w:tc>
          <w:tcPr>
            <w:tcW w:w="1897" w:type="dxa"/>
          </w:tcPr>
          <w:p w14:paraId="04DA3466" w14:textId="77777777" w:rsidR="009F05C3" w:rsidRPr="0090237D" w:rsidRDefault="009F05C3" w:rsidP="009F05C3">
            <w:pPr>
              <w:jc w:val="right"/>
              <w:rPr>
                <w:rFonts w:ascii="Times New Roman" w:eastAsia="Times New Roman" w:hAnsi="Times New Roman" w:cs="Times New Roman"/>
                <w:color w:val="auto"/>
                <w:sz w:val="24"/>
                <w:szCs w:val="24"/>
                <w:lang w:val="en-CA" w:eastAsia="en-US"/>
              </w:rPr>
            </w:pPr>
          </w:p>
        </w:tc>
      </w:tr>
      <w:tr w:rsidR="00F44E79" w:rsidRPr="0090237D" w14:paraId="0763B6B4" w14:textId="77777777" w:rsidTr="005A197D">
        <w:tc>
          <w:tcPr>
            <w:tcW w:w="2876" w:type="dxa"/>
          </w:tcPr>
          <w:p w14:paraId="4DD54550" w14:textId="77777777" w:rsidR="00F44E79" w:rsidRPr="0090237D" w:rsidRDefault="00F44E79" w:rsidP="00E719EC">
            <w:pPr>
              <w:rPr>
                <w:rFonts w:ascii="Times New Roman" w:eastAsia="Times New Roman" w:hAnsi="Times New Roman" w:cs="Times New Roman"/>
                <w:color w:val="auto"/>
                <w:sz w:val="24"/>
                <w:szCs w:val="24"/>
                <w:lang w:val="en-CA" w:eastAsia="en-US"/>
              </w:rPr>
            </w:pPr>
          </w:p>
        </w:tc>
        <w:tc>
          <w:tcPr>
            <w:tcW w:w="2890" w:type="dxa"/>
            <w:gridSpan w:val="3"/>
          </w:tcPr>
          <w:p w14:paraId="09D0ED13" w14:textId="77777777" w:rsidR="00F44E79" w:rsidRPr="0090237D" w:rsidRDefault="00F44E79" w:rsidP="009F05C3">
            <w:pPr>
              <w:jc w:val="right"/>
              <w:rPr>
                <w:rFonts w:ascii="Times New Roman" w:eastAsia="Times New Roman" w:hAnsi="Times New Roman" w:cs="Times New Roman"/>
                <w:color w:val="auto"/>
                <w:sz w:val="24"/>
                <w:szCs w:val="24"/>
                <w:lang w:val="en-CA" w:eastAsia="en-US"/>
              </w:rPr>
            </w:pPr>
          </w:p>
        </w:tc>
        <w:tc>
          <w:tcPr>
            <w:tcW w:w="1897" w:type="dxa"/>
          </w:tcPr>
          <w:p w14:paraId="2F23B1AB" w14:textId="77777777" w:rsidR="00F44E79" w:rsidRPr="0090237D" w:rsidRDefault="00F44E79" w:rsidP="009F05C3">
            <w:pPr>
              <w:jc w:val="right"/>
              <w:rPr>
                <w:rFonts w:ascii="Times New Roman" w:eastAsia="Times New Roman" w:hAnsi="Times New Roman" w:cs="Times New Roman"/>
                <w:color w:val="auto"/>
                <w:sz w:val="24"/>
                <w:szCs w:val="24"/>
                <w:lang w:val="en-CA" w:eastAsia="en-US"/>
              </w:rPr>
            </w:pPr>
          </w:p>
        </w:tc>
      </w:tr>
      <w:tr w:rsidR="00F44E79" w:rsidRPr="0090237D" w14:paraId="19402877" w14:textId="77777777" w:rsidTr="005A197D">
        <w:tc>
          <w:tcPr>
            <w:tcW w:w="4770" w:type="dxa"/>
            <w:gridSpan w:val="3"/>
          </w:tcPr>
          <w:p w14:paraId="1764D91B" w14:textId="6CBBFB83" w:rsidR="00977343" w:rsidRPr="0090237D" w:rsidRDefault="00CB229F" w:rsidP="00E719EC">
            <w:pPr>
              <w:rPr>
                <w:color w:val="auto"/>
              </w:rPr>
            </w:pPr>
            <w:r w:rsidRPr="0090237D">
              <w:rPr>
                <w:rFonts w:ascii="Times New Roman" w:hAnsi="Times New Roman"/>
                <w:color w:val="auto"/>
                <w:sz w:val="24"/>
                <w:szCs w:val="24"/>
              </w:rPr>
              <w:t>Intérêts payés mais réinvestis</w:t>
            </w:r>
          </w:p>
        </w:tc>
        <w:tc>
          <w:tcPr>
            <w:tcW w:w="996" w:type="dxa"/>
          </w:tcPr>
          <w:p w14:paraId="12E99FC0" w14:textId="77777777" w:rsidR="00F44E79" w:rsidRPr="0090237D" w:rsidRDefault="00507EAA" w:rsidP="009F05C3">
            <w:pPr>
              <w:jc w:val="right"/>
              <w:rPr>
                <w:rFonts w:ascii="Times New Roman" w:eastAsia="Times New Roman" w:hAnsi="Times New Roman" w:cs="Times New Roman"/>
                <w:color w:val="auto"/>
                <w:sz w:val="24"/>
                <w:szCs w:val="24"/>
              </w:rPr>
            </w:pPr>
            <w:r w:rsidRPr="0090237D">
              <w:rPr>
                <w:rFonts w:ascii="Times New Roman" w:hAnsi="Times New Roman"/>
                <w:color w:val="auto"/>
                <w:sz w:val="24"/>
                <w:szCs w:val="24"/>
              </w:rPr>
              <w:t>74,03 $</w:t>
            </w:r>
          </w:p>
        </w:tc>
        <w:tc>
          <w:tcPr>
            <w:tcW w:w="1897" w:type="dxa"/>
          </w:tcPr>
          <w:p w14:paraId="27A25268" w14:textId="77777777" w:rsidR="00F44E79" w:rsidRPr="0090237D" w:rsidRDefault="00F44E79" w:rsidP="009F05C3">
            <w:pPr>
              <w:jc w:val="right"/>
              <w:rPr>
                <w:rFonts w:ascii="Times New Roman" w:eastAsia="Times New Roman" w:hAnsi="Times New Roman" w:cs="Times New Roman"/>
                <w:color w:val="auto"/>
                <w:sz w:val="24"/>
                <w:szCs w:val="24"/>
                <w:lang w:eastAsia="en-US"/>
              </w:rPr>
            </w:pPr>
          </w:p>
        </w:tc>
      </w:tr>
      <w:tr w:rsidR="00507EAA" w:rsidRPr="0090237D" w14:paraId="1271AB02" w14:textId="77777777" w:rsidTr="005A197D">
        <w:tc>
          <w:tcPr>
            <w:tcW w:w="4770" w:type="dxa"/>
            <w:gridSpan w:val="3"/>
          </w:tcPr>
          <w:p w14:paraId="4D5D180C" w14:textId="77777777" w:rsidR="00507EAA" w:rsidRPr="0090237D" w:rsidRDefault="00507EAA" w:rsidP="00E719EC">
            <w:pPr>
              <w:rPr>
                <w:rFonts w:ascii="Times New Roman" w:eastAsia="Times New Roman" w:hAnsi="Times New Roman" w:cs="Times New Roman"/>
                <w:color w:val="auto"/>
                <w:sz w:val="24"/>
                <w:szCs w:val="24"/>
                <w:lang w:eastAsia="en-US"/>
              </w:rPr>
            </w:pPr>
          </w:p>
        </w:tc>
        <w:tc>
          <w:tcPr>
            <w:tcW w:w="996" w:type="dxa"/>
          </w:tcPr>
          <w:p w14:paraId="077074C1" w14:textId="77777777" w:rsidR="00507EAA" w:rsidRPr="0090237D" w:rsidRDefault="00507EAA" w:rsidP="009F05C3">
            <w:pPr>
              <w:jc w:val="right"/>
              <w:rPr>
                <w:rFonts w:ascii="Times New Roman" w:eastAsia="Times New Roman" w:hAnsi="Times New Roman" w:cs="Times New Roman"/>
                <w:color w:val="auto"/>
                <w:sz w:val="24"/>
                <w:szCs w:val="24"/>
                <w:lang w:eastAsia="en-US"/>
              </w:rPr>
            </w:pPr>
          </w:p>
        </w:tc>
        <w:tc>
          <w:tcPr>
            <w:tcW w:w="1897" w:type="dxa"/>
          </w:tcPr>
          <w:p w14:paraId="003BD547" w14:textId="77777777" w:rsidR="00507EAA" w:rsidRPr="0090237D" w:rsidRDefault="00507EAA" w:rsidP="009F05C3">
            <w:pPr>
              <w:jc w:val="right"/>
              <w:rPr>
                <w:rFonts w:ascii="Times New Roman" w:eastAsia="Times New Roman" w:hAnsi="Times New Roman" w:cs="Times New Roman"/>
                <w:color w:val="auto"/>
                <w:sz w:val="24"/>
                <w:szCs w:val="24"/>
                <w:lang w:eastAsia="en-US"/>
              </w:rPr>
            </w:pPr>
          </w:p>
        </w:tc>
      </w:tr>
      <w:tr w:rsidR="00507EAA" w:rsidRPr="0090237D" w14:paraId="17792239" w14:textId="77777777" w:rsidTr="005A197D">
        <w:tc>
          <w:tcPr>
            <w:tcW w:w="4770" w:type="dxa"/>
            <w:gridSpan w:val="3"/>
          </w:tcPr>
          <w:p w14:paraId="2DBA37A2" w14:textId="228BF6CB" w:rsidR="00977343" w:rsidRPr="0090237D" w:rsidRDefault="00CB229F" w:rsidP="00E719EC">
            <w:pPr>
              <w:rPr>
                <w:color w:val="auto"/>
              </w:rPr>
            </w:pPr>
            <w:r w:rsidRPr="0090237D">
              <w:rPr>
                <w:rFonts w:ascii="Times New Roman" w:hAnsi="Times New Roman"/>
                <w:color w:val="auto"/>
                <w:sz w:val="24"/>
                <w:szCs w:val="24"/>
              </w:rPr>
              <w:t>Solde de clôture</w:t>
            </w:r>
          </w:p>
        </w:tc>
        <w:tc>
          <w:tcPr>
            <w:tcW w:w="996" w:type="dxa"/>
          </w:tcPr>
          <w:p w14:paraId="5BF503C5" w14:textId="77777777" w:rsidR="00507EAA" w:rsidRPr="0090237D" w:rsidRDefault="00507EAA" w:rsidP="009F05C3">
            <w:pPr>
              <w:jc w:val="right"/>
              <w:rPr>
                <w:rFonts w:ascii="Times New Roman" w:eastAsia="Times New Roman" w:hAnsi="Times New Roman" w:cs="Times New Roman"/>
                <w:color w:val="auto"/>
                <w:sz w:val="24"/>
                <w:szCs w:val="24"/>
                <w:lang w:eastAsia="en-US"/>
              </w:rPr>
            </w:pPr>
          </w:p>
        </w:tc>
        <w:tc>
          <w:tcPr>
            <w:tcW w:w="1897" w:type="dxa"/>
          </w:tcPr>
          <w:p w14:paraId="619E7847" w14:textId="77777777" w:rsidR="00507EAA" w:rsidRPr="0090237D" w:rsidRDefault="00507EAA" w:rsidP="009F05C3">
            <w:pPr>
              <w:jc w:val="right"/>
              <w:rPr>
                <w:rFonts w:ascii="Times New Roman" w:eastAsia="Times New Roman" w:hAnsi="Times New Roman" w:cs="Times New Roman"/>
                <w:color w:val="auto"/>
                <w:sz w:val="24"/>
                <w:szCs w:val="24"/>
              </w:rPr>
            </w:pPr>
            <w:r w:rsidRPr="0090237D">
              <w:rPr>
                <w:rFonts w:ascii="Times New Roman" w:hAnsi="Times New Roman"/>
                <w:b/>
                <w:color w:val="auto"/>
                <w:sz w:val="24"/>
                <w:szCs w:val="24"/>
              </w:rPr>
              <w:t>6 804,40 </w:t>
            </w:r>
            <w:r w:rsidRPr="0090237D">
              <w:rPr>
                <w:rFonts w:ascii="Times New Roman" w:hAnsi="Times New Roman"/>
                <w:color w:val="auto"/>
                <w:sz w:val="24"/>
                <w:szCs w:val="24"/>
              </w:rPr>
              <w:t>$</w:t>
            </w:r>
          </w:p>
        </w:tc>
      </w:tr>
      <w:tr w:rsidR="00507EAA" w:rsidRPr="0090237D" w14:paraId="10B07BF3" w14:textId="77777777" w:rsidTr="005A197D">
        <w:tc>
          <w:tcPr>
            <w:tcW w:w="4770" w:type="dxa"/>
            <w:gridSpan w:val="3"/>
          </w:tcPr>
          <w:p w14:paraId="1D22A3CD" w14:textId="77777777" w:rsidR="00507EAA" w:rsidRPr="0090237D" w:rsidRDefault="00507EAA" w:rsidP="00E719EC">
            <w:pPr>
              <w:rPr>
                <w:rFonts w:ascii="Times New Roman" w:eastAsia="Times New Roman" w:hAnsi="Times New Roman" w:cs="Times New Roman"/>
                <w:color w:val="auto"/>
                <w:sz w:val="24"/>
                <w:szCs w:val="24"/>
                <w:lang w:eastAsia="en-US"/>
              </w:rPr>
            </w:pPr>
          </w:p>
        </w:tc>
        <w:tc>
          <w:tcPr>
            <w:tcW w:w="996" w:type="dxa"/>
          </w:tcPr>
          <w:p w14:paraId="54F2A0B3" w14:textId="77777777" w:rsidR="00507EAA" w:rsidRPr="0090237D" w:rsidRDefault="00507EAA" w:rsidP="009F05C3">
            <w:pPr>
              <w:jc w:val="right"/>
              <w:rPr>
                <w:rFonts w:ascii="Times New Roman" w:eastAsia="Times New Roman" w:hAnsi="Times New Roman" w:cs="Times New Roman"/>
                <w:color w:val="auto"/>
                <w:sz w:val="24"/>
                <w:szCs w:val="24"/>
                <w:lang w:eastAsia="en-US"/>
              </w:rPr>
            </w:pPr>
          </w:p>
        </w:tc>
        <w:tc>
          <w:tcPr>
            <w:tcW w:w="1897" w:type="dxa"/>
          </w:tcPr>
          <w:p w14:paraId="7B0BD9D3" w14:textId="77777777" w:rsidR="00507EAA" w:rsidRPr="0090237D" w:rsidRDefault="00507EAA" w:rsidP="009F05C3">
            <w:pPr>
              <w:jc w:val="right"/>
              <w:rPr>
                <w:rFonts w:ascii="Times New Roman" w:eastAsia="Times New Roman" w:hAnsi="Times New Roman" w:cs="Times New Roman"/>
                <w:color w:val="auto"/>
                <w:sz w:val="24"/>
                <w:szCs w:val="24"/>
                <w:lang w:eastAsia="en-US"/>
              </w:rPr>
            </w:pPr>
          </w:p>
        </w:tc>
      </w:tr>
      <w:tr w:rsidR="00507EAA" w:rsidRPr="0090237D" w14:paraId="7F072D9E" w14:textId="77777777" w:rsidTr="005A197D">
        <w:tc>
          <w:tcPr>
            <w:tcW w:w="4770" w:type="dxa"/>
            <w:gridSpan w:val="3"/>
          </w:tcPr>
          <w:p w14:paraId="5D8FDC56" w14:textId="77777777" w:rsidR="00507EAA" w:rsidRPr="0090237D" w:rsidRDefault="00507EAA" w:rsidP="00E719EC">
            <w:pPr>
              <w:rPr>
                <w:rFonts w:ascii="Times New Roman" w:eastAsia="Times New Roman" w:hAnsi="Times New Roman" w:cs="Times New Roman"/>
                <w:color w:val="auto"/>
                <w:sz w:val="24"/>
                <w:szCs w:val="24"/>
                <w:lang w:eastAsia="en-US"/>
              </w:rPr>
            </w:pPr>
          </w:p>
        </w:tc>
        <w:tc>
          <w:tcPr>
            <w:tcW w:w="996" w:type="dxa"/>
          </w:tcPr>
          <w:p w14:paraId="7304BEE2" w14:textId="77777777" w:rsidR="00507EAA" w:rsidRPr="0090237D" w:rsidRDefault="00507EAA" w:rsidP="009F05C3">
            <w:pPr>
              <w:jc w:val="right"/>
              <w:rPr>
                <w:rFonts w:ascii="Times New Roman" w:eastAsia="Times New Roman" w:hAnsi="Times New Roman" w:cs="Times New Roman"/>
                <w:color w:val="auto"/>
                <w:sz w:val="24"/>
                <w:szCs w:val="24"/>
                <w:lang w:eastAsia="en-US"/>
              </w:rPr>
            </w:pPr>
          </w:p>
        </w:tc>
        <w:tc>
          <w:tcPr>
            <w:tcW w:w="1897" w:type="dxa"/>
          </w:tcPr>
          <w:p w14:paraId="181BD6AB" w14:textId="77777777" w:rsidR="00507EAA" w:rsidRPr="0090237D" w:rsidRDefault="00507EAA" w:rsidP="009F05C3">
            <w:pPr>
              <w:jc w:val="right"/>
              <w:rPr>
                <w:rFonts w:ascii="Times New Roman" w:eastAsia="Times New Roman" w:hAnsi="Times New Roman" w:cs="Times New Roman"/>
                <w:color w:val="auto"/>
                <w:sz w:val="24"/>
                <w:szCs w:val="24"/>
                <w:lang w:eastAsia="en-US"/>
              </w:rPr>
            </w:pPr>
          </w:p>
        </w:tc>
      </w:tr>
      <w:tr w:rsidR="00507EAA" w:rsidRPr="0090237D" w14:paraId="33C8DF9D" w14:textId="77777777" w:rsidTr="005A197D">
        <w:tc>
          <w:tcPr>
            <w:tcW w:w="4770" w:type="dxa"/>
            <w:gridSpan w:val="3"/>
          </w:tcPr>
          <w:p w14:paraId="516DFBE3" w14:textId="77777777" w:rsidR="00507EAA" w:rsidRPr="0090237D" w:rsidRDefault="00507EAA" w:rsidP="00E719EC">
            <w:pPr>
              <w:rPr>
                <w:rFonts w:ascii="Times New Roman" w:eastAsia="Times New Roman" w:hAnsi="Times New Roman" w:cs="Times New Roman"/>
                <w:color w:val="auto"/>
                <w:sz w:val="24"/>
                <w:szCs w:val="24"/>
                <w:lang w:eastAsia="en-US"/>
              </w:rPr>
            </w:pPr>
          </w:p>
        </w:tc>
        <w:tc>
          <w:tcPr>
            <w:tcW w:w="996" w:type="dxa"/>
          </w:tcPr>
          <w:p w14:paraId="0365061D" w14:textId="77777777" w:rsidR="00507EAA" w:rsidRPr="0090237D" w:rsidRDefault="00507EAA" w:rsidP="009F05C3">
            <w:pPr>
              <w:jc w:val="right"/>
              <w:rPr>
                <w:rFonts w:ascii="Times New Roman" w:eastAsia="Times New Roman" w:hAnsi="Times New Roman" w:cs="Times New Roman"/>
                <w:color w:val="auto"/>
                <w:sz w:val="24"/>
                <w:szCs w:val="24"/>
                <w:lang w:eastAsia="en-US"/>
              </w:rPr>
            </w:pPr>
          </w:p>
        </w:tc>
        <w:tc>
          <w:tcPr>
            <w:tcW w:w="1897" w:type="dxa"/>
          </w:tcPr>
          <w:p w14:paraId="55A8476C" w14:textId="77777777" w:rsidR="00507EAA" w:rsidRPr="0090237D" w:rsidRDefault="00507EAA" w:rsidP="009F05C3">
            <w:pPr>
              <w:jc w:val="right"/>
              <w:rPr>
                <w:rFonts w:ascii="Times New Roman" w:eastAsia="Times New Roman" w:hAnsi="Times New Roman" w:cs="Times New Roman"/>
                <w:color w:val="auto"/>
                <w:sz w:val="24"/>
                <w:szCs w:val="24"/>
                <w:lang w:eastAsia="en-US"/>
              </w:rPr>
            </w:pPr>
          </w:p>
        </w:tc>
      </w:tr>
      <w:tr w:rsidR="00507EAA" w:rsidRPr="0090237D" w14:paraId="329DC9F4" w14:textId="77777777" w:rsidTr="005A197D">
        <w:tc>
          <w:tcPr>
            <w:tcW w:w="7663" w:type="dxa"/>
            <w:gridSpan w:val="5"/>
          </w:tcPr>
          <w:p w14:paraId="3C375AA9" w14:textId="019FF8C7" w:rsidR="00507EAA" w:rsidRPr="0090237D" w:rsidRDefault="00CB229F" w:rsidP="00507EAA">
            <w:pPr>
              <w:rPr>
                <w:rFonts w:ascii="Times New Roman" w:eastAsia="Times New Roman" w:hAnsi="Times New Roman" w:cs="Times New Roman"/>
                <w:color w:val="auto"/>
                <w:sz w:val="24"/>
                <w:szCs w:val="24"/>
                <w:lang w:val="en-CA"/>
              </w:rPr>
            </w:pPr>
            <w:r w:rsidRPr="0090237D">
              <w:rPr>
                <w:rFonts w:ascii="Times New Roman" w:hAnsi="Times New Roman"/>
                <w:b/>
                <w:color w:val="auto"/>
                <w:sz w:val="24"/>
                <w:szCs w:val="24"/>
                <w:lang w:val="en-CA"/>
              </w:rPr>
              <w:t>Bourse Harold-Holland</w:t>
            </w:r>
          </w:p>
        </w:tc>
      </w:tr>
      <w:tr w:rsidR="00507EAA" w:rsidRPr="0090237D" w14:paraId="4319C5E3" w14:textId="77777777" w:rsidTr="005A197D">
        <w:tc>
          <w:tcPr>
            <w:tcW w:w="4770" w:type="dxa"/>
            <w:gridSpan w:val="3"/>
          </w:tcPr>
          <w:p w14:paraId="6A597732" w14:textId="77777777" w:rsidR="00507EAA" w:rsidRPr="0090237D" w:rsidRDefault="00507EAA" w:rsidP="00E719EC">
            <w:pPr>
              <w:rPr>
                <w:rFonts w:ascii="Times New Roman" w:eastAsia="Times New Roman" w:hAnsi="Times New Roman" w:cs="Times New Roman"/>
                <w:color w:val="auto"/>
                <w:sz w:val="24"/>
                <w:szCs w:val="24"/>
                <w:lang w:val="en-CA" w:eastAsia="en-US"/>
              </w:rPr>
            </w:pPr>
          </w:p>
        </w:tc>
        <w:tc>
          <w:tcPr>
            <w:tcW w:w="996" w:type="dxa"/>
          </w:tcPr>
          <w:p w14:paraId="053EA60A" w14:textId="77777777" w:rsidR="00507EAA" w:rsidRPr="0090237D" w:rsidRDefault="00507EAA" w:rsidP="009F05C3">
            <w:pPr>
              <w:jc w:val="right"/>
              <w:rPr>
                <w:rFonts w:ascii="Times New Roman" w:eastAsia="Times New Roman" w:hAnsi="Times New Roman" w:cs="Times New Roman"/>
                <w:color w:val="auto"/>
                <w:sz w:val="24"/>
                <w:szCs w:val="24"/>
                <w:lang w:val="en-CA" w:eastAsia="en-US"/>
              </w:rPr>
            </w:pPr>
          </w:p>
        </w:tc>
        <w:tc>
          <w:tcPr>
            <w:tcW w:w="1897" w:type="dxa"/>
          </w:tcPr>
          <w:p w14:paraId="4F747E30" w14:textId="77777777" w:rsidR="00507EAA" w:rsidRPr="0090237D" w:rsidRDefault="00507EAA" w:rsidP="009F05C3">
            <w:pPr>
              <w:jc w:val="right"/>
              <w:rPr>
                <w:rFonts w:ascii="Times New Roman" w:eastAsia="Times New Roman" w:hAnsi="Times New Roman" w:cs="Times New Roman"/>
                <w:color w:val="auto"/>
                <w:sz w:val="24"/>
                <w:szCs w:val="24"/>
                <w:lang w:val="en-CA" w:eastAsia="en-US"/>
              </w:rPr>
            </w:pPr>
          </w:p>
        </w:tc>
      </w:tr>
      <w:tr w:rsidR="00507EAA" w:rsidRPr="0090237D" w14:paraId="507BDA93" w14:textId="77777777" w:rsidTr="005A197D">
        <w:tc>
          <w:tcPr>
            <w:tcW w:w="4770" w:type="dxa"/>
            <w:gridSpan w:val="3"/>
          </w:tcPr>
          <w:p w14:paraId="4EC9761F" w14:textId="630D7E72" w:rsidR="00507EAA" w:rsidRPr="0090237D" w:rsidRDefault="00CB229F" w:rsidP="00E719EC">
            <w:pPr>
              <w:rPr>
                <w:rFonts w:ascii="Times New Roman" w:eastAsia="Times New Roman" w:hAnsi="Times New Roman" w:cs="Times New Roman"/>
                <w:color w:val="auto"/>
                <w:sz w:val="24"/>
                <w:szCs w:val="24"/>
              </w:rPr>
            </w:pPr>
            <w:r w:rsidRPr="0090237D">
              <w:rPr>
                <w:rFonts w:ascii="Times New Roman" w:hAnsi="Times New Roman"/>
                <w:color w:val="auto"/>
                <w:sz w:val="24"/>
                <w:szCs w:val="24"/>
              </w:rPr>
              <w:t>Solde d'ouverture</w:t>
            </w:r>
          </w:p>
        </w:tc>
        <w:tc>
          <w:tcPr>
            <w:tcW w:w="996" w:type="dxa"/>
          </w:tcPr>
          <w:p w14:paraId="21C5693E" w14:textId="77777777" w:rsidR="00507EAA" w:rsidRPr="0090237D" w:rsidRDefault="00507EAA" w:rsidP="009F05C3">
            <w:pPr>
              <w:jc w:val="right"/>
              <w:rPr>
                <w:rFonts w:ascii="Times New Roman" w:eastAsia="Times New Roman" w:hAnsi="Times New Roman" w:cs="Times New Roman"/>
                <w:color w:val="auto"/>
                <w:sz w:val="24"/>
                <w:szCs w:val="24"/>
                <w:lang w:eastAsia="en-US"/>
              </w:rPr>
            </w:pPr>
          </w:p>
        </w:tc>
        <w:tc>
          <w:tcPr>
            <w:tcW w:w="1897" w:type="dxa"/>
          </w:tcPr>
          <w:p w14:paraId="2D632B2B" w14:textId="77777777" w:rsidR="00507EAA" w:rsidRPr="0090237D" w:rsidRDefault="00507EAA" w:rsidP="009F05C3">
            <w:pPr>
              <w:jc w:val="right"/>
              <w:rPr>
                <w:rFonts w:ascii="Times New Roman" w:eastAsia="Times New Roman" w:hAnsi="Times New Roman" w:cs="Times New Roman"/>
                <w:color w:val="auto"/>
                <w:sz w:val="24"/>
                <w:szCs w:val="24"/>
              </w:rPr>
            </w:pPr>
            <w:r w:rsidRPr="0090237D">
              <w:rPr>
                <w:rFonts w:ascii="Times New Roman" w:hAnsi="Times New Roman"/>
                <w:b/>
                <w:color w:val="auto"/>
                <w:sz w:val="24"/>
                <w:szCs w:val="24"/>
              </w:rPr>
              <w:t>35 622,46 $</w:t>
            </w:r>
          </w:p>
        </w:tc>
      </w:tr>
      <w:tr w:rsidR="00507EAA" w:rsidRPr="0090237D" w14:paraId="4D61D8CE" w14:textId="77777777" w:rsidTr="005A197D">
        <w:tc>
          <w:tcPr>
            <w:tcW w:w="4770" w:type="dxa"/>
            <w:gridSpan w:val="3"/>
          </w:tcPr>
          <w:p w14:paraId="3A7D1DF5" w14:textId="77777777" w:rsidR="00507EAA" w:rsidRPr="0090237D" w:rsidRDefault="00507EAA" w:rsidP="00E719EC">
            <w:pPr>
              <w:rPr>
                <w:rFonts w:ascii="Times New Roman" w:eastAsia="Times New Roman" w:hAnsi="Times New Roman" w:cs="Times New Roman"/>
                <w:color w:val="auto"/>
                <w:sz w:val="24"/>
                <w:szCs w:val="24"/>
                <w:lang w:eastAsia="en-US"/>
              </w:rPr>
            </w:pPr>
          </w:p>
        </w:tc>
        <w:tc>
          <w:tcPr>
            <w:tcW w:w="996" w:type="dxa"/>
          </w:tcPr>
          <w:p w14:paraId="6CF310B3" w14:textId="77777777" w:rsidR="00507EAA" w:rsidRPr="0090237D" w:rsidRDefault="00507EAA" w:rsidP="009F05C3">
            <w:pPr>
              <w:jc w:val="right"/>
              <w:rPr>
                <w:rFonts w:ascii="Times New Roman" w:eastAsia="Times New Roman" w:hAnsi="Times New Roman" w:cs="Times New Roman"/>
                <w:color w:val="auto"/>
                <w:sz w:val="24"/>
                <w:szCs w:val="24"/>
                <w:lang w:eastAsia="en-US"/>
              </w:rPr>
            </w:pPr>
          </w:p>
        </w:tc>
        <w:tc>
          <w:tcPr>
            <w:tcW w:w="1897" w:type="dxa"/>
          </w:tcPr>
          <w:p w14:paraId="43D494EB" w14:textId="77777777" w:rsidR="00507EAA" w:rsidRPr="0090237D" w:rsidRDefault="00507EAA" w:rsidP="009F05C3">
            <w:pPr>
              <w:jc w:val="right"/>
              <w:rPr>
                <w:rFonts w:ascii="Times New Roman" w:eastAsia="Times New Roman" w:hAnsi="Times New Roman" w:cs="Times New Roman"/>
                <w:b/>
                <w:color w:val="auto"/>
                <w:sz w:val="24"/>
                <w:szCs w:val="24"/>
                <w:lang w:eastAsia="en-US"/>
              </w:rPr>
            </w:pPr>
          </w:p>
        </w:tc>
      </w:tr>
      <w:tr w:rsidR="00507EAA" w:rsidRPr="0090237D" w14:paraId="39E47B7F" w14:textId="77777777" w:rsidTr="005A197D">
        <w:tc>
          <w:tcPr>
            <w:tcW w:w="4680" w:type="dxa"/>
            <w:gridSpan w:val="2"/>
          </w:tcPr>
          <w:p w14:paraId="3DC74415" w14:textId="1BBDE578" w:rsidR="00507EAA" w:rsidRPr="0090237D" w:rsidRDefault="00CB229F" w:rsidP="00E719EC">
            <w:pPr>
              <w:rPr>
                <w:rFonts w:ascii="Times New Roman" w:eastAsia="Times New Roman" w:hAnsi="Times New Roman" w:cs="Times New Roman"/>
                <w:color w:val="auto"/>
                <w:sz w:val="24"/>
                <w:szCs w:val="24"/>
              </w:rPr>
            </w:pPr>
            <w:r w:rsidRPr="0090237D">
              <w:rPr>
                <w:rFonts w:ascii="Times New Roman" w:hAnsi="Times New Roman"/>
                <w:color w:val="auto"/>
                <w:sz w:val="24"/>
                <w:szCs w:val="24"/>
              </w:rPr>
              <w:t>Intérêts payés mais réinvestis</w:t>
            </w:r>
          </w:p>
        </w:tc>
        <w:tc>
          <w:tcPr>
            <w:tcW w:w="1086" w:type="dxa"/>
            <w:gridSpan w:val="2"/>
          </w:tcPr>
          <w:p w14:paraId="208BAD07" w14:textId="77777777" w:rsidR="00507EAA" w:rsidRPr="0090237D" w:rsidRDefault="005A197D" w:rsidP="009F05C3">
            <w:pPr>
              <w:jc w:val="right"/>
              <w:rPr>
                <w:rFonts w:ascii="Times New Roman" w:eastAsia="Times New Roman" w:hAnsi="Times New Roman" w:cs="Times New Roman"/>
                <w:color w:val="auto"/>
                <w:sz w:val="24"/>
                <w:szCs w:val="24"/>
              </w:rPr>
            </w:pPr>
            <w:r w:rsidRPr="0090237D">
              <w:rPr>
                <w:rFonts w:ascii="Times New Roman" w:hAnsi="Times New Roman"/>
                <w:color w:val="auto"/>
                <w:sz w:val="24"/>
                <w:szCs w:val="24"/>
              </w:rPr>
              <w:t>391,85 $</w:t>
            </w:r>
          </w:p>
        </w:tc>
        <w:tc>
          <w:tcPr>
            <w:tcW w:w="1897" w:type="dxa"/>
          </w:tcPr>
          <w:p w14:paraId="29799F64" w14:textId="77777777" w:rsidR="00507EAA" w:rsidRPr="0090237D" w:rsidRDefault="00507EAA" w:rsidP="009F05C3">
            <w:pPr>
              <w:jc w:val="right"/>
              <w:rPr>
                <w:rFonts w:ascii="Times New Roman" w:eastAsia="Times New Roman" w:hAnsi="Times New Roman" w:cs="Times New Roman"/>
                <w:b/>
                <w:color w:val="auto"/>
                <w:sz w:val="24"/>
                <w:szCs w:val="24"/>
                <w:lang w:eastAsia="en-US"/>
              </w:rPr>
            </w:pPr>
          </w:p>
        </w:tc>
      </w:tr>
      <w:tr w:rsidR="00507EAA" w:rsidRPr="0090237D" w14:paraId="5FA881AE" w14:textId="77777777" w:rsidTr="005A197D">
        <w:tc>
          <w:tcPr>
            <w:tcW w:w="4770" w:type="dxa"/>
            <w:gridSpan w:val="3"/>
          </w:tcPr>
          <w:p w14:paraId="0D628B82" w14:textId="77777777" w:rsidR="00507EAA" w:rsidRPr="0090237D" w:rsidRDefault="00507EAA" w:rsidP="00E719EC">
            <w:pPr>
              <w:rPr>
                <w:rFonts w:ascii="Times New Roman" w:eastAsia="Times New Roman" w:hAnsi="Times New Roman" w:cs="Times New Roman"/>
                <w:color w:val="auto"/>
                <w:sz w:val="24"/>
                <w:szCs w:val="24"/>
                <w:lang w:eastAsia="en-US"/>
              </w:rPr>
            </w:pPr>
          </w:p>
        </w:tc>
        <w:tc>
          <w:tcPr>
            <w:tcW w:w="996" w:type="dxa"/>
          </w:tcPr>
          <w:p w14:paraId="188EC1F0" w14:textId="77777777" w:rsidR="00507EAA" w:rsidRPr="0090237D" w:rsidRDefault="00507EAA" w:rsidP="009F05C3">
            <w:pPr>
              <w:jc w:val="right"/>
              <w:rPr>
                <w:rFonts w:ascii="Times New Roman" w:eastAsia="Times New Roman" w:hAnsi="Times New Roman" w:cs="Times New Roman"/>
                <w:color w:val="auto"/>
                <w:sz w:val="24"/>
                <w:szCs w:val="24"/>
                <w:lang w:eastAsia="en-US"/>
              </w:rPr>
            </w:pPr>
          </w:p>
        </w:tc>
        <w:tc>
          <w:tcPr>
            <w:tcW w:w="1897" w:type="dxa"/>
          </w:tcPr>
          <w:p w14:paraId="37B2C125" w14:textId="77777777" w:rsidR="00507EAA" w:rsidRPr="0090237D" w:rsidRDefault="00507EAA" w:rsidP="009F05C3">
            <w:pPr>
              <w:jc w:val="right"/>
              <w:rPr>
                <w:rFonts w:ascii="Times New Roman" w:eastAsia="Times New Roman" w:hAnsi="Times New Roman" w:cs="Times New Roman"/>
                <w:b/>
                <w:color w:val="auto"/>
                <w:sz w:val="24"/>
                <w:szCs w:val="24"/>
                <w:lang w:eastAsia="en-US"/>
              </w:rPr>
            </w:pPr>
          </w:p>
        </w:tc>
      </w:tr>
      <w:tr w:rsidR="00507EAA" w:rsidRPr="0090237D" w14:paraId="7D4AE887" w14:textId="77777777" w:rsidTr="005A197D">
        <w:tc>
          <w:tcPr>
            <w:tcW w:w="4770" w:type="dxa"/>
            <w:gridSpan w:val="3"/>
          </w:tcPr>
          <w:p w14:paraId="5E83D6DC" w14:textId="77777777" w:rsidR="00507EAA" w:rsidRPr="0090237D" w:rsidRDefault="00507EAA" w:rsidP="00E719EC">
            <w:pPr>
              <w:rPr>
                <w:rFonts w:ascii="Times New Roman" w:eastAsia="Times New Roman" w:hAnsi="Times New Roman" w:cs="Times New Roman"/>
                <w:color w:val="auto"/>
                <w:sz w:val="24"/>
                <w:szCs w:val="24"/>
                <w:lang w:eastAsia="en-US"/>
              </w:rPr>
            </w:pPr>
          </w:p>
        </w:tc>
        <w:tc>
          <w:tcPr>
            <w:tcW w:w="996" w:type="dxa"/>
          </w:tcPr>
          <w:p w14:paraId="02D6B049" w14:textId="77777777" w:rsidR="00507EAA" w:rsidRPr="0090237D" w:rsidRDefault="00507EAA" w:rsidP="009F05C3">
            <w:pPr>
              <w:jc w:val="right"/>
              <w:rPr>
                <w:rFonts w:ascii="Times New Roman" w:eastAsia="Times New Roman" w:hAnsi="Times New Roman" w:cs="Times New Roman"/>
                <w:color w:val="auto"/>
                <w:sz w:val="24"/>
                <w:szCs w:val="24"/>
                <w:lang w:eastAsia="en-US"/>
              </w:rPr>
            </w:pPr>
          </w:p>
        </w:tc>
        <w:tc>
          <w:tcPr>
            <w:tcW w:w="1897" w:type="dxa"/>
          </w:tcPr>
          <w:p w14:paraId="01358563" w14:textId="77777777" w:rsidR="00507EAA" w:rsidRPr="0090237D" w:rsidRDefault="00507EAA" w:rsidP="009F05C3">
            <w:pPr>
              <w:jc w:val="right"/>
              <w:rPr>
                <w:rFonts w:ascii="Times New Roman" w:eastAsia="Times New Roman" w:hAnsi="Times New Roman" w:cs="Times New Roman"/>
                <w:b/>
                <w:color w:val="auto"/>
                <w:sz w:val="24"/>
                <w:szCs w:val="24"/>
                <w:lang w:eastAsia="en-US"/>
              </w:rPr>
            </w:pPr>
          </w:p>
        </w:tc>
      </w:tr>
      <w:tr w:rsidR="00507EAA" w:rsidRPr="0090237D" w14:paraId="149F3170" w14:textId="77777777" w:rsidTr="005A197D">
        <w:tc>
          <w:tcPr>
            <w:tcW w:w="4770" w:type="dxa"/>
            <w:gridSpan w:val="3"/>
          </w:tcPr>
          <w:p w14:paraId="3DC77168" w14:textId="7FF9E984" w:rsidR="00507EAA" w:rsidRPr="0090237D" w:rsidRDefault="00CB229F" w:rsidP="00E719EC">
            <w:pPr>
              <w:rPr>
                <w:rFonts w:ascii="Times New Roman" w:eastAsia="Times New Roman" w:hAnsi="Times New Roman" w:cs="Times New Roman"/>
                <w:color w:val="auto"/>
                <w:sz w:val="24"/>
                <w:szCs w:val="24"/>
              </w:rPr>
            </w:pPr>
            <w:r w:rsidRPr="0090237D">
              <w:rPr>
                <w:rFonts w:ascii="Times New Roman" w:hAnsi="Times New Roman"/>
                <w:color w:val="auto"/>
                <w:sz w:val="24"/>
                <w:szCs w:val="24"/>
              </w:rPr>
              <w:t>Solde de clôture</w:t>
            </w:r>
          </w:p>
        </w:tc>
        <w:tc>
          <w:tcPr>
            <w:tcW w:w="996" w:type="dxa"/>
          </w:tcPr>
          <w:p w14:paraId="27567EDF" w14:textId="77777777" w:rsidR="00507EAA" w:rsidRPr="0090237D" w:rsidRDefault="00507EAA" w:rsidP="009F05C3">
            <w:pPr>
              <w:jc w:val="right"/>
              <w:rPr>
                <w:rFonts w:ascii="Times New Roman" w:eastAsia="Times New Roman" w:hAnsi="Times New Roman" w:cs="Times New Roman"/>
                <w:color w:val="auto"/>
                <w:sz w:val="24"/>
                <w:szCs w:val="24"/>
                <w:lang w:eastAsia="en-US"/>
              </w:rPr>
            </w:pPr>
          </w:p>
        </w:tc>
        <w:tc>
          <w:tcPr>
            <w:tcW w:w="1897" w:type="dxa"/>
          </w:tcPr>
          <w:p w14:paraId="3C4DED8E" w14:textId="77777777" w:rsidR="00507EAA" w:rsidRPr="0090237D" w:rsidRDefault="005A197D" w:rsidP="009F05C3">
            <w:pPr>
              <w:jc w:val="right"/>
              <w:rPr>
                <w:rFonts w:ascii="Times New Roman" w:eastAsia="Times New Roman" w:hAnsi="Times New Roman" w:cs="Times New Roman"/>
                <w:b/>
                <w:color w:val="auto"/>
                <w:sz w:val="24"/>
                <w:szCs w:val="24"/>
              </w:rPr>
            </w:pPr>
            <w:r w:rsidRPr="0090237D">
              <w:rPr>
                <w:rFonts w:ascii="Times New Roman" w:hAnsi="Times New Roman"/>
                <w:b/>
                <w:color w:val="auto"/>
                <w:sz w:val="24"/>
                <w:szCs w:val="24"/>
              </w:rPr>
              <w:t>36 014,31 $</w:t>
            </w:r>
          </w:p>
        </w:tc>
      </w:tr>
    </w:tbl>
    <w:p w14:paraId="3A3848CA" w14:textId="77777777" w:rsidR="00F44E79" w:rsidRPr="0090237D" w:rsidRDefault="00F44E79" w:rsidP="00E719EC">
      <w:pPr>
        <w:spacing w:before="0" w:after="0" w:line="240" w:lineRule="auto"/>
        <w:rPr>
          <w:rFonts w:ascii="Times New Roman" w:eastAsia="Times New Roman" w:hAnsi="Times New Roman" w:cs="Times New Roman"/>
          <w:color w:val="auto"/>
          <w:sz w:val="24"/>
          <w:szCs w:val="24"/>
          <w:lang w:eastAsia="en-US"/>
        </w:rPr>
      </w:pPr>
    </w:p>
    <w:p w14:paraId="1C4D4294" w14:textId="77777777" w:rsidR="00E719EC" w:rsidRPr="0090237D" w:rsidRDefault="00E719EC" w:rsidP="00E719EC">
      <w:pPr>
        <w:spacing w:before="0" w:after="0" w:line="240" w:lineRule="auto"/>
        <w:rPr>
          <w:rFonts w:ascii="Times New Roman" w:eastAsia="Times New Roman" w:hAnsi="Times New Roman" w:cs="Times New Roman"/>
          <w:b/>
          <w:color w:val="auto"/>
          <w:sz w:val="24"/>
          <w:szCs w:val="24"/>
        </w:rPr>
      </w:pPr>
      <w:r w:rsidRPr="0090237D">
        <w:rPr>
          <w:color w:val="auto"/>
        </w:rPr>
        <w:br w:type="page"/>
      </w:r>
    </w:p>
    <w:p w14:paraId="5AFFEF65" w14:textId="28AA6BB3" w:rsidR="00E719EC" w:rsidRPr="0090237D" w:rsidRDefault="00CB229F" w:rsidP="00E719EC">
      <w:pPr>
        <w:spacing w:before="0" w:after="0" w:line="240" w:lineRule="auto"/>
        <w:jc w:val="center"/>
        <w:rPr>
          <w:rFonts w:ascii="Times New Roman" w:eastAsia="Times New Roman" w:hAnsi="Times New Roman" w:cs="Times New Roman"/>
          <w:b/>
          <w:color w:val="auto"/>
          <w:sz w:val="24"/>
          <w:szCs w:val="24"/>
        </w:rPr>
      </w:pPr>
      <w:r w:rsidRPr="0090237D">
        <w:rPr>
          <w:rFonts w:ascii="Times New Roman" w:hAnsi="Times New Roman"/>
          <w:b/>
          <w:color w:val="auto"/>
          <w:sz w:val="24"/>
          <w:szCs w:val="24"/>
        </w:rPr>
        <w:lastRenderedPageBreak/>
        <w:t>Sommaire des comptes</w:t>
      </w:r>
    </w:p>
    <w:p w14:paraId="278FE869" w14:textId="77777777" w:rsidR="00E719EC" w:rsidRPr="0090237D" w:rsidRDefault="00E719EC" w:rsidP="00E719EC">
      <w:pPr>
        <w:spacing w:before="0" w:after="0" w:line="240" w:lineRule="auto"/>
        <w:jc w:val="center"/>
        <w:rPr>
          <w:rFonts w:ascii="Times New Roman" w:eastAsia="Times New Roman" w:hAnsi="Times New Roman" w:cs="Times New Roman"/>
          <w:b/>
          <w:color w:val="auto"/>
          <w:sz w:val="24"/>
          <w:szCs w:val="24"/>
          <w:lang w:eastAsia="en-US"/>
        </w:rPr>
      </w:pPr>
    </w:p>
    <w:p w14:paraId="56D3BB24" w14:textId="0B76195C" w:rsidR="00E719EC" w:rsidRPr="0090237D" w:rsidRDefault="00CB229F" w:rsidP="00E719EC">
      <w:pPr>
        <w:spacing w:before="0" w:after="0" w:line="240" w:lineRule="auto"/>
        <w:jc w:val="center"/>
        <w:rPr>
          <w:rFonts w:ascii="Times New Roman" w:eastAsia="Times New Roman" w:hAnsi="Times New Roman" w:cs="Times New Roman"/>
          <w:b/>
          <w:color w:val="auto"/>
          <w:sz w:val="24"/>
          <w:szCs w:val="24"/>
          <w:lang w:val="en-CA"/>
        </w:rPr>
      </w:pPr>
      <w:r w:rsidRPr="0090237D">
        <w:rPr>
          <w:rFonts w:ascii="Times New Roman" w:hAnsi="Times New Roman"/>
          <w:b/>
          <w:color w:val="auto"/>
          <w:sz w:val="24"/>
          <w:szCs w:val="24"/>
          <w:lang w:val="en-CA"/>
        </w:rPr>
        <w:t>Au 31 mars 2019</w:t>
      </w:r>
    </w:p>
    <w:p w14:paraId="13BF3A5C" w14:textId="77777777" w:rsidR="00E719EC" w:rsidRPr="0090237D" w:rsidRDefault="00E719EC" w:rsidP="00E719EC">
      <w:pPr>
        <w:spacing w:before="0" w:after="0" w:line="240" w:lineRule="auto"/>
        <w:jc w:val="center"/>
        <w:rPr>
          <w:rFonts w:ascii="Times New Roman" w:eastAsia="Times New Roman" w:hAnsi="Times New Roman" w:cs="Times New Roman"/>
          <w:b/>
          <w:color w:val="auto"/>
          <w:sz w:val="24"/>
          <w:szCs w:val="24"/>
          <w:lang w:val="en-CA" w:eastAsia="en-US"/>
        </w:rPr>
      </w:pPr>
    </w:p>
    <w:p w14:paraId="2A2E8C94" w14:textId="77777777" w:rsidR="00E719EC" w:rsidRPr="0090237D" w:rsidRDefault="00E719EC" w:rsidP="00E719EC">
      <w:pPr>
        <w:spacing w:before="0" w:after="0" w:line="240" w:lineRule="auto"/>
        <w:jc w:val="center"/>
        <w:rPr>
          <w:rFonts w:ascii="Times New Roman" w:eastAsia="Times New Roman" w:hAnsi="Times New Roman" w:cs="Times New Roman"/>
          <w:b/>
          <w:color w:val="auto"/>
          <w:sz w:val="24"/>
          <w:szCs w:val="24"/>
          <w:lang w:val="en-CA" w:eastAsia="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1620"/>
        <w:gridCol w:w="900"/>
      </w:tblGrid>
      <w:tr w:rsidR="00033168" w:rsidRPr="0090237D" w14:paraId="320DFFCF" w14:textId="77777777" w:rsidTr="00033168">
        <w:trPr>
          <w:gridAfter w:val="1"/>
          <w:wAfter w:w="900" w:type="dxa"/>
        </w:trPr>
        <w:tc>
          <w:tcPr>
            <w:tcW w:w="6120" w:type="dxa"/>
          </w:tcPr>
          <w:p w14:paraId="56D3C33C" w14:textId="5CE1E6BA" w:rsidR="00033168" w:rsidRPr="0090237D" w:rsidRDefault="00CB229F" w:rsidP="00033168">
            <w:pPr>
              <w:rPr>
                <w:rFonts w:ascii="Times New Roman" w:eastAsia="Times New Roman" w:hAnsi="Times New Roman" w:cs="Times New Roman"/>
                <w:b/>
                <w:color w:val="auto"/>
                <w:sz w:val="24"/>
                <w:szCs w:val="24"/>
              </w:rPr>
            </w:pPr>
            <w:r w:rsidRPr="0090237D">
              <w:rPr>
                <w:rFonts w:ascii="Times New Roman" w:hAnsi="Times New Roman"/>
                <w:b/>
                <w:color w:val="auto"/>
                <w:sz w:val="24"/>
                <w:szCs w:val="24"/>
              </w:rPr>
              <w:t>Caisse populaire de Caraquet limitée</w:t>
            </w:r>
          </w:p>
        </w:tc>
        <w:tc>
          <w:tcPr>
            <w:tcW w:w="1620" w:type="dxa"/>
          </w:tcPr>
          <w:p w14:paraId="14F5BADA" w14:textId="77777777" w:rsidR="00033168" w:rsidRPr="0090237D" w:rsidRDefault="00033168" w:rsidP="00033168">
            <w:pPr>
              <w:rPr>
                <w:rFonts w:ascii="Times New Roman" w:eastAsia="Times New Roman" w:hAnsi="Times New Roman" w:cs="Times New Roman"/>
                <w:b/>
                <w:color w:val="auto"/>
                <w:sz w:val="24"/>
                <w:szCs w:val="24"/>
                <w:lang w:eastAsia="en-US"/>
              </w:rPr>
            </w:pPr>
          </w:p>
        </w:tc>
      </w:tr>
      <w:tr w:rsidR="00033168" w:rsidRPr="0090237D" w14:paraId="3C7497EB" w14:textId="77777777" w:rsidTr="00033168">
        <w:trPr>
          <w:gridAfter w:val="1"/>
          <w:wAfter w:w="900" w:type="dxa"/>
        </w:trPr>
        <w:tc>
          <w:tcPr>
            <w:tcW w:w="6120" w:type="dxa"/>
          </w:tcPr>
          <w:p w14:paraId="5E1B6E08" w14:textId="77777777" w:rsidR="00033168" w:rsidRPr="0090237D" w:rsidRDefault="00033168" w:rsidP="00033168">
            <w:pPr>
              <w:rPr>
                <w:rFonts w:ascii="Times New Roman" w:eastAsia="Times New Roman" w:hAnsi="Times New Roman" w:cs="Times New Roman"/>
                <w:b/>
                <w:color w:val="auto"/>
                <w:sz w:val="24"/>
                <w:szCs w:val="24"/>
                <w:lang w:eastAsia="en-US"/>
              </w:rPr>
            </w:pPr>
          </w:p>
        </w:tc>
        <w:tc>
          <w:tcPr>
            <w:tcW w:w="1620" w:type="dxa"/>
          </w:tcPr>
          <w:p w14:paraId="5D590DD5" w14:textId="77777777" w:rsidR="00033168" w:rsidRPr="0090237D" w:rsidRDefault="00033168" w:rsidP="00033168">
            <w:pPr>
              <w:jc w:val="right"/>
              <w:rPr>
                <w:rFonts w:ascii="Times New Roman" w:eastAsia="Times New Roman" w:hAnsi="Times New Roman" w:cs="Times New Roman"/>
                <w:b/>
                <w:color w:val="auto"/>
                <w:sz w:val="24"/>
                <w:szCs w:val="24"/>
                <w:lang w:eastAsia="en-US"/>
              </w:rPr>
            </w:pPr>
          </w:p>
        </w:tc>
      </w:tr>
      <w:tr w:rsidR="00033168" w:rsidRPr="0090237D" w14:paraId="1A76E83F" w14:textId="77777777" w:rsidTr="00033168">
        <w:trPr>
          <w:gridAfter w:val="1"/>
          <w:wAfter w:w="900" w:type="dxa"/>
        </w:trPr>
        <w:tc>
          <w:tcPr>
            <w:tcW w:w="6120" w:type="dxa"/>
          </w:tcPr>
          <w:p w14:paraId="5FF4EFA8" w14:textId="1461B337" w:rsidR="00033168" w:rsidRPr="0090237D" w:rsidRDefault="00CB229F" w:rsidP="00033168">
            <w:pPr>
              <w:rPr>
                <w:rFonts w:ascii="Times New Roman" w:eastAsia="Times New Roman" w:hAnsi="Times New Roman" w:cs="Times New Roman"/>
                <w:b/>
                <w:color w:val="auto"/>
                <w:sz w:val="24"/>
                <w:szCs w:val="24"/>
              </w:rPr>
            </w:pPr>
            <w:r w:rsidRPr="0090237D">
              <w:rPr>
                <w:rFonts w:ascii="Times New Roman" w:hAnsi="Times New Roman"/>
                <w:color w:val="auto"/>
                <w:sz w:val="24"/>
                <w:szCs w:val="24"/>
              </w:rPr>
              <w:t>Dépôts à terme</w:t>
            </w:r>
          </w:p>
        </w:tc>
        <w:tc>
          <w:tcPr>
            <w:tcW w:w="1620" w:type="dxa"/>
          </w:tcPr>
          <w:p w14:paraId="529ADF57" w14:textId="77777777" w:rsidR="00033168" w:rsidRPr="0090237D" w:rsidRDefault="00033168" w:rsidP="00033168">
            <w:pPr>
              <w:jc w:val="right"/>
              <w:rPr>
                <w:rFonts w:ascii="Times New Roman" w:eastAsia="Times New Roman" w:hAnsi="Times New Roman" w:cs="Times New Roman"/>
                <w:b/>
                <w:color w:val="auto"/>
                <w:sz w:val="24"/>
                <w:szCs w:val="24"/>
              </w:rPr>
            </w:pPr>
            <w:r w:rsidRPr="0090237D">
              <w:rPr>
                <w:rFonts w:ascii="Times New Roman" w:hAnsi="Times New Roman"/>
                <w:color w:val="auto"/>
                <w:sz w:val="24"/>
                <w:szCs w:val="24"/>
              </w:rPr>
              <w:t>46 120,98 $</w:t>
            </w:r>
          </w:p>
        </w:tc>
      </w:tr>
      <w:tr w:rsidR="00033168" w:rsidRPr="0090237D" w14:paraId="55A650B1" w14:textId="77777777" w:rsidTr="00033168">
        <w:trPr>
          <w:gridAfter w:val="1"/>
          <w:wAfter w:w="900" w:type="dxa"/>
        </w:trPr>
        <w:tc>
          <w:tcPr>
            <w:tcW w:w="6120" w:type="dxa"/>
          </w:tcPr>
          <w:p w14:paraId="5EB871FB" w14:textId="0E2603F4" w:rsidR="00033168" w:rsidRPr="0090237D" w:rsidRDefault="00CB229F" w:rsidP="00033168">
            <w:pPr>
              <w:rPr>
                <w:rFonts w:ascii="Times New Roman" w:eastAsia="Times New Roman" w:hAnsi="Times New Roman" w:cs="Times New Roman"/>
                <w:b/>
                <w:color w:val="auto"/>
                <w:sz w:val="24"/>
                <w:szCs w:val="24"/>
              </w:rPr>
            </w:pPr>
            <w:r w:rsidRPr="0090237D">
              <w:rPr>
                <w:color w:val="auto"/>
              </w:rPr>
              <w:t xml:space="preserve">Compte d'épargne avec opérations </w:t>
            </w:r>
          </w:p>
        </w:tc>
        <w:tc>
          <w:tcPr>
            <w:tcW w:w="1620" w:type="dxa"/>
          </w:tcPr>
          <w:p w14:paraId="64F993C1" w14:textId="77777777" w:rsidR="00033168" w:rsidRPr="0090237D" w:rsidRDefault="00033168" w:rsidP="00033168">
            <w:pPr>
              <w:jc w:val="right"/>
              <w:rPr>
                <w:rFonts w:ascii="Times New Roman" w:eastAsia="Times New Roman" w:hAnsi="Times New Roman" w:cs="Times New Roman"/>
                <w:b/>
                <w:color w:val="auto"/>
                <w:sz w:val="24"/>
                <w:szCs w:val="24"/>
              </w:rPr>
            </w:pPr>
            <w:r w:rsidRPr="0090237D">
              <w:rPr>
                <w:rFonts w:ascii="Times New Roman" w:hAnsi="Times New Roman"/>
                <w:color w:val="auto"/>
                <w:sz w:val="24"/>
                <w:szCs w:val="24"/>
              </w:rPr>
              <w:t>-12,45</w:t>
            </w:r>
          </w:p>
        </w:tc>
      </w:tr>
      <w:tr w:rsidR="00033168" w:rsidRPr="0090237D" w14:paraId="77D82D15" w14:textId="77777777" w:rsidTr="00033168">
        <w:trPr>
          <w:gridAfter w:val="1"/>
          <w:wAfter w:w="900" w:type="dxa"/>
        </w:trPr>
        <w:tc>
          <w:tcPr>
            <w:tcW w:w="6120" w:type="dxa"/>
          </w:tcPr>
          <w:p w14:paraId="6872809F" w14:textId="1F12035F" w:rsidR="00033168" w:rsidRPr="0090237D" w:rsidRDefault="00CB229F" w:rsidP="00033168">
            <w:pPr>
              <w:rPr>
                <w:rFonts w:ascii="Times New Roman" w:eastAsia="Times New Roman" w:hAnsi="Times New Roman" w:cs="Times New Roman"/>
                <w:b/>
                <w:color w:val="auto"/>
                <w:sz w:val="24"/>
                <w:szCs w:val="24"/>
              </w:rPr>
            </w:pPr>
            <w:r w:rsidRPr="0090237D">
              <w:rPr>
                <w:rFonts w:ascii="Times New Roman" w:hAnsi="Times New Roman"/>
                <w:color w:val="auto"/>
                <w:sz w:val="24"/>
                <w:szCs w:val="24"/>
              </w:rPr>
              <w:t>Compte ES</w:t>
            </w:r>
          </w:p>
        </w:tc>
        <w:tc>
          <w:tcPr>
            <w:tcW w:w="1620" w:type="dxa"/>
          </w:tcPr>
          <w:p w14:paraId="0BBD4A4D" w14:textId="77777777" w:rsidR="00033168" w:rsidRPr="0090237D" w:rsidRDefault="00033168" w:rsidP="00033168">
            <w:pPr>
              <w:jc w:val="right"/>
              <w:rPr>
                <w:rFonts w:ascii="Times New Roman" w:eastAsia="Times New Roman" w:hAnsi="Times New Roman" w:cs="Times New Roman"/>
                <w:b/>
                <w:color w:val="auto"/>
                <w:sz w:val="24"/>
                <w:szCs w:val="24"/>
              </w:rPr>
            </w:pPr>
            <w:r w:rsidRPr="0090237D">
              <w:rPr>
                <w:rFonts w:ascii="Times New Roman" w:hAnsi="Times New Roman"/>
                <w:color w:val="auto"/>
                <w:sz w:val="24"/>
                <w:szCs w:val="24"/>
              </w:rPr>
              <w:t>19 597,10</w:t>
            </w:r>
          </w:p>
        </w:tc>
      </w:tr>
      <w:tr w:rsidR="00033168" w:rsidRPr="0090237D" w14:paraId="2E01B5C0" w14:textId="77777777" w:rsidTr="00033168">
        <w:trPr>
          <w:gridAfter w:val="1"/>
          <w:wAfter w:w="900" w:type="dxa"/>
        </w:trPr>
        <w:tc>
          <w:tcPr>
            <w:tcW w:w="6120" w:type="dxa"/>
          </w:tcPr>
          <w:p w14:paraId="3B4678EA" w14:textId="4AA938DD" w:rsidR="00033168" w:rsidRPr="0090237D" w:rsidRDefault="00CB229F" w:rsidP="00033168">
            <w:pPr>
              <w:rPr>
                <w:rFonts w:ascii="Times New Roman" w:eastAsia="Times New Roman" w:hAnsi="Times New Roman" w:cs="Times New Roman"/>
                <w:b/>
                <w:color w:val="auto"/>
                <w:sz w:val="24"/>
                <w:szCs w:val="24"/>
              </w:rPr>
            </w:pPr>
            <w:r w:rsidRPr="0090237D">
              <w:rPr>
                <w:rFonts w:ascii="Times New Roman" w:hAnsi="Times New Roman"/>
                <w:color w:val="auto"/>
                <w:sz w:val="24"/>
                <w:szCs w:val="24"/>
              </w:rPr>
              <w:t>Compte CS</w:t>
            </w:r>
          </w:p>
        </w:tc>
        <w:tc>
          <w:tcPr>
            <w:tcW w:w="1620" w:type="dxa"/>
          </w:tcPr>
          <w:p w14:paraId="19996D45" w14:textId="77777777" w:rsidR="00033168" w:rsidRPr="0090237D" w:rsidRDefault="00033168" w:rsidP="00033168">
            <w:pPr>
              <w:jc w:val="right"/>
              <w:rPr>
                <w:rFonts w:ascii="Times New Roman" w:eastAsia="Times New Roman" w:hAnsi="Times New Roman" w:cs="Times New Roman"/>
                <w:b/>
                <w:color w:val="auto"/>
                <w:sz w:val="24"/>
                <w:szCs w:val="24"/>
              </w:rPr>
            </w:pPr>
            <w:r w:rsidRPr="0090237D">
              <w:rPr>
                <w:rFonts w:ascii="Times New Roman" w:hAnsi="Times New Roman"/>
                <w:color w:val="auto"/>
                <w:sz w:val="24"/>
                <w:szCs w:val="24"/>
              </w:rPr>
              <w:t>100,00</w:t>
            </w:r>
          </w:p>
        </w:tc>
      </w:tr>
      <w:tr w:rsidR="00033168" w:rsidRPr="0090237D" w14:paraId="74FB2696" w14:textId="77777777" w:rsidTr="00033168">
        <w:trPr>
          <w:gridAfter w:val="1"/>
          <w:wAfter w:w="900" w:type="dxa"/>
        </w:trPr>
        <w:tc>
          <w:tcPr>
            <w:tcW w:w="6120" w:type="dxa"/>
          </w:tcPr>
          <w:p w14:paraId="12A65DBF" w14:textId="77777777" w:rsidR="00033168" w:rsidRPr="0090237D" w:rsidRDefault="00033168" w:rsidP="00033168">
            <w:pPr>
              <w:rPr>
                <w:rFonts w:ascii="Times New Roman" w:eastAsia="Times New Roman" w:hAnsi="Times New Roman" w:cs="Times New Roman"/>
                <w:b/>
                <w:color w:val="auto"/>
                <w:sz w:val="24"/>
                <w:szCs w:val="24"/>
                <w:lang w:eastAsia="en-US"/>
              </w:rPr>
            </w:pPr>
          </w:p>
        </w:tc>
        <w:tc>
          <w:tcPr>
            <w:tcW w:w="1620" w:type="dxa"/>
          </w:tcPr>
          <w:p w14:paraId="13671772" w14:textId="77777777" w:rsidR="00033168" w:rsidRPr="0090237D" w:rsidRDefault="00033168" w:rsidP="00033168">
            <w:pPr>
              <w:jc w:val="right"/>
              <w:rPr>
                <w:rFonts w:ascii="Times New Roman" w:eastAsia="Times New Roman" w:hAnsi="Times New Roman" w:cs="Times New Roman"/>
                <w:b/>
                <w:color w:val="auto"/>
                <w:sz w:val="24"/>
                <w:szCs w:val="24"/>
                <w:lang w:eastAsia="en-US"/>
              </w:rPr>
            </w:pPr>
          </w:p>
        </w:tc>
      </w:tr>
      <w:tr w:rsidR="000C7956" w:rsidRPr="0090237D" w14:paraId="0ECC1619" w14:textId="77777777" w:rsidTr="00033168">
        <w:trPr>
          <w:gridAfter w:val="1"/>
          <w:wAfter w:w="900" w:type="dxa"/>
        </w:trPr>
        <w:tc>
          <w:tcPr>
            <w:tcW w:w="6120" w:type="dxa"/>
          </w:tcPr>
          <w:p w14:paraId="62042ED8" w14:textId="77777777" w:rsidR="000C7956" w:rsidRPr="0090237D" w:rsidRDefault="000C7956" w:rsidP="00033168">
            <w:pPr>
              <w:rPr>
                <w:rFonts w:ascii="Times New Roman" w:eastAsia="Times New Roman" w:hAnsi="Times New Roman" w:cs="Times New Roman"/>
                <w:b/>
                <w:color w:val="auto"/>
                <w:sz w:val="24"/>
                <w:szCs w:val="24"/>
                <w:lang w:eastAsia="en-US"/>
              </w:rPr>
            </w:pPr>
          </w:p>
        </w:tc>
        <w:tc>
          <w:tcPr>
            <w:tcW w:w="1620" w:type="dxa"/>
          </w:tcPr>
          <w:p w14:paraId="5585F31A" w14:textId="77777777" w:rsidR="000C7956" w:rsidRPr="0090237D" w:rsidRDefault="000C7956" w:rsidP="00033168">
            <w:pPr>
              <w:jc w:val="right"/>
              <w:rPr>
                <w:rFonts w:ascii="Times New Roman" w:eastAsia="Times New Roman" w:hAnsi="Times New Roman" w:cs="Times New Roman"/>
                <w:b/>
                <w:color w:val="auto"/>
                <w:sz w:val="24"/>
                <w:szCs w:val="24"/>
                <w:lang w:eastAsia="en-US"/>
              </w:rPr>
            </w:pPr>
          </w:p>
        </w:tc>
      </w:tr>
      <w:tr w:rsidR="000C7956" w:rsidRPr="0090237D" w14:paraId="57237DCF" w14:textId="77777777" w:rsidTr="000C7956">
        <w:tc>
          <w:tcPr>
            <w:tcW w:w="6120" w:type="dxa"/>
          </w:tcPr>
          <w:p w14:paraId="467874E7" w14:textId="77777777" w:rsidR="000C7956" w:rsidRPr="0090237D" w:rsidRDefault="000C7956" w:rsidP="00033168">
            <w:pPr>
              <w:rPr>
                <w:rFonts w:ascii="Times New Roman" w:eastAsia="Times New Roman" w:hAnsi="Times New Roman" w:cs="Times New Roman"/>
                <w:b/>
                <w:color w:val="auto"/>
                <w:sz w:val="24"/>
                <w:szCs w:val="24"/>
                <w:lang w:eastAsia="en-US"/>
              </w:rPr>
            </w:pPr>
          </w:p>
        </w:tc>
        <w:tc>
          <w:tcPr>
            <w:tcW w:w="2520" w:type="dxa"/>
            <w:gridSpan w:val="2"/>
          </w:tcPr>
          <w:p w14:paraId="1629A81F" w14:textId="77777777" w:rsidR="000C7956" w:rsidRPr="0090237D" w:rsidRDefault="000C7956" w:rsidP="00033168">
            <w:pPr>
              <w:jc w:val="right"/>
              <w:rPr>
                <w:rFonts w:ascii="Times New Roman" w:eastAsia="Times New Roman" w:hAnsi="Times New Roman" w:cs="Times New Roman"/>
                <w:b/>
                <w:color w:val="auto"/>
                <w:sz w:val="24"/>
                <w:szCs w:val="24"/>
                <w:lang w:eastAsia="en-US"/>
              </w:rPr>
            </w:pPr>
          </w:p>
        </w:tc>
      </w:tr>
      <w:tr w:rsidR="000C7956" w:rsidRPr="0090237D" w14:paraId="5FC287D8" w14:textId="77777777" w:rsidTr="000C7956">
        <w:tc>
          <w:tcPr>
            <w:tcW w:w="8640" w:type="dxa"/>
            <w:gridSpan w:val="3"/>
          </w:tcPr>
          <w:p w14:paraId="079E5228" w14:textId="3A6A8A75" w:rsidR="000C7956" w:rsidRPr="0090237D" w:rsidRDefault="00CB229F" w:rsidP="000C7956">
            <w:pPr>
              <w:tabs>
                <w:tab w:val="center" w:pos="4307"/>
              </w:tabs>
              <w:jc w:val="center"/>
              <w:rPr>
                <w:rFonts w:ascii="Times New Roman" w:eastAsia="Times New Roman" w:hAnsi="Times New Roman" w:cs="Times New Roman"/>
                <w:b/>
                <w:color w:val="auto"/>
                <w:sz w:val="24"/>
                <w:szCs w:val="24"/>
                <w:lang w:val="en-CA"/>
              </w:rPr>
            </w:pPr>
            <w:r w:rsidRPr="0090237D">
              <w:rPr>
                <w:rFonts w:ascii="Times New Roman" w:hAnsi="Times New Roman"/>
                <w:b/>
                <w:color w:val="auto"/>
                <w:sz w:val="24"/>
                <w:szCs w:val="24"/>
                <w:lang w:val="en-CA"/>
              </w:rPr>
              <w:t>Au 31 mars 2019</w:t>
            </w:r>
          </w:p>
        </w:tc>
      </w:tr>
      <w:tr w:rsidR="000C7956" w:rsidRPr="0090237D" w14:paraId="7C9AB7AC" w14:textId="77777777" w:rsidTr="00033168">
        <w:trPr>
          <w:gridAfter w:val="1"/>
          <w:wAfter w:w="900" w:type="dxa"/>
        </w:trPr>
        <w:tc>
          <w:tcPr>
            <w:tcW w:w="6120" w:type="dxa"/>
          </w:tcPr>
          <w:p w14:paraId="44E255F7" w14:textId="77777777" w:rsidR="000C7956" w:rsidRPr="0090237D" w:rsidRDefault="000C7956" w:rsidP="00033168">
            <w:pPr>
              <w:rPr>
                <w:rFonts w:ascii="Times New Roman" w:eastAsia="Times New Roman" w:hAnsi="Times New Roman" w:cs="Times New Roman"/>
                <w:b/>
                <w:color w:val="auto"/>
                <w:sz w:val="24"/>
                <w:szCs w:val="24"/>
                <w:lang w:val="en-CA" w:eastAsia="en-US"/>
              </w:rPr>
            </w:pPr>
          </w:p>
        </w:tc>
        <w:tc>
          <w:tcPr>
            <w:tcW w:w="1620" w:type="dxa"/>
          </w:tcPr>
          <w:p w14:paraId="3A08BF2B" w14:textId="77777777" w:rsidR="000C7956" w:rsidRPr="0090237D" w:rsidRDefault="000C7956" w:rsidP="00033168">
            <w:pPr>
              <w:jc w:val="right"/>
              <w:rPr>
                <w:rFonts w:ascii="Times New Roman" w:eastAsia="Times New Roman" w:hAnsi="Times New Roman" w:cs="Times New Roman"/>
                <w:b/>
                <w:color w:val="auto"/>
                <w:sz w:val="24"/>
                <w:szCs w:val="24"/>
                <w:lang w:val="en-CA" w:eastAsia="en-US"/>
              </w:rPr>
            </w:pPr>
          </w:p>
        </w:tc>
      </w:tr>
      <w:tr w:rsidR="000C7956" w:rsidRPr="0090237D" w14:paraId="066E3CB8" w14:textId="77777777" w:rsidTr="00033168">
        <w:trPr>
          <w:gridAfter w:val="1"/>
          <w:wAfter w:w="900" w:type="dxa"/>
        </w:trPr>
        <w:tc>
          <w:tcPr>
            <w:tcW w:w="6120" w:type="dxa"/>
          </w:tcPr>
          <w:p w14:paraId="568546A2" w14:textId="315743BB" w:rsidR="000C7956" w:rsidRPr="0090237D" w:rsidRDefault="00CB229F" w:rsidP="00033168">
            <w:pPr>
              <w:rPr>
                <w:rFonts w:ascii="Times New Roman" w:eastAsia="Times New Roman" w:hAnsi="Times New Roman" w:cs="Times New Roman"/>
                <w:b/>
                <w:color w:val="auto"/>
                <w:sz w:val="24"/>
                <w:szCs w:val="24"/>
              </w:rPr>
            </w:pPr>
            <w:r w:rsidRPr="0090237D">
              <w:rPr>
                <w:rFonts w:ascii="Times New Roman" w:hAnsi="Times New Roman"/>
                <w:b/>
                <w:color w:val="auto"/>
                <w:sz w:val="24"/>
                <w:szCs w:val="24"/>
              </w:rPr>
              <w:t>Banque de Montréal</w:t>
            </w:r>
          </w:p>
        </w:tc>
        <w:tc>
          <w:tcPr>
            <w:tcW w:w="1620" w:type="dxa"/>
          </w:tcPr>
          <w:p w14:paraId="51F38626" w14:textId="77777777" w:rsidR="000C7956" w:rsidRPr="0090237D" w:rsidRDefault="000C7956" w:rsidP="00033168">
            <w:pPr>
              <w:jc w:val="right"/>
              <w:rPr>
                <w:rFonts w:ascii="Times New Roman" w:eastAsia="Times New Roman" w:hAnsi="Times New Roman" w:cs="Times New Roman"/>
                <w:b/>
                <w:color w:val="auto"/>
                <w:sz w:val="24"/>
                <w:szCs w:val="24"/>
                <w:lang w:eastAsia="en-US"/>
              </w:rPr>
            </w:pPr>
          </w:p>
        </w:tc>
      </w:tr>
      <w:tr w:rsidR="000C7956" w:rsidRPr="0090237D" w14:paraId="59951C23" w14:textId="77777777" w:rsidTr="00033168">
        <w:trPr>
          <w:gridAfter w:val="1"/>
          <w:wAfter w:w="900" w:type="dxa"/>
        </w:trPr>
        <w:tc>
          <w:tcPr>
            <w:tcW w:w="6120" w:type="dxa"/>
          </w:tcPr>
          <w:p w14:paraId="4E1C1B4F" w14:textId="77777777" w:rsidR="000C7956" w:rsidRPr="0090237D" w:rsidRDefault="000C7956" w:rsidP="00033168">
            <w:pPr>
              <w:rPr>
                <w:rFonts w:ascii="Times New Roman" w:eastAsia="Times New Roman" w:hAnsi="Times New Roman" w:cs="Times New Roman"/>
                <w:b/>
                <w:color w:val="auto"/>
                <w:sz w:val="24"/>
                <w:szCs w:val="24"/>
                <w:lang w:val="en-CA" w:eastAsia="en-US"/>
              </w:rPr>
            </w:pPr>
          </w:p>
        </w:tc>
        <w:tc>
          <w:tcPr>
            <w:tcW w:w="1620" w:type="dxa"/>
          </w:tcPr>
          <w:p w14:paraId="275095F2" w14:textId="77777777" w:rsidR="000C7956" w:rsidRPr="0090237D" w:rsidRDefault="000C7956" w:rsidP="00033168">
            <w:pPr>
              <w:jc w:val="right"/>
              <w:rPr>
                <w:rFonts w:ascii="Times New Roman" w:eastAsia="Times New Roman" w:hAnsi="Times New Roman" w:cs="Times New Roman"/>
                <w:b/>
                <w:color w:val="auto"/>
                <w:sz w:val="24"/>
                <w:szCs w:val="24"/>
                <w:lang w:eastAsia="en-US"/>
              </w:rPr>
            </w:pPr>
          </w:p>
        </w:tc>
      </w:tr>
      <w:tr w:rsidR="000C7956" w:rsidRPr="0090237D" w14:paraId="00787FB2" w14:textId="77777777" w:rsidTr="00033168">
        <w:trPr>
          <w:gridAfter w:val="1"/>
          <w:wAfter w:w="900" w:type="dxa"/>
        </w:trPr>
        <w:tc>
          <w:tcPr>
            <w:tcW w:w="6120" w:type="dxa"/>
          </w:tcPr>
          <w:p w14:paraId="48653F89" w14:textId="30655CFD" w:rsidR="000C7956" w:rsidRPr="0090237D" w:rsidRDefault="00CB229F" w:rsidP="00033168">
            <w:pPr>
              <w:rPr>
                <w:rFonts w:ascii="Times New Roman" w:eastAsia="Times New Roman" w:hAnsi="Times New Roman" w:cs="Times New Roman"/>
                <w:b/>
                <w:color w:val="auto"/>
                <w:sz w:val="24"/>
                <w:szCs w:val="24"/>
              </w:rPr>
            </w:pPr>
            <w:r w:rsidRPr="0090237D">
              <w:rPr>
                <w:rFonts w:ascii="Times New Roman" w:hAnsi="Times New Roman"/>
                <w:color w:val="auto"/>
                <w:sz w:val="24"/>
                <w:szCs w:val="24"/>
              </w:rPr>
              <w:t>Compte de chèque</w:t>
            </w:r>
          </w:p>
        </w:tc>
        <w:tc>
          <w:tcPr>
            <w:tcW w:w="1620" w:type="dxa"/>
          </w:tcPr>
          <w:p w14:paraId="6F4335EC" w14:textId="77777777" w:rsidR="000C7956" w:rsidRPr="0090237D" w:rsidRDefault="000C7956" w:rsidP="00033168">
            <w:pPr>
              <w:jc w:val="right"/>
              <w:rPr>
                <w:rFonts w:ascii="Times New Roman" w:eastAsia="Times New Roman" w:hAnsi="Times New Roman" w:cs="Times New Roman"/>
                <w:b/>
                <w:color w:val="auto"/>
                <w:sz w:val="24"/>
                <w:szCs w:val="24"/>
              </w:rPr>
            </w:pPr>
            <w:r w:rsidRPr="0090237D">
              <w:rPr>
                <w:rFonts w:ascii="Times New Roman" w:hAnsi="Times New Roman"/>
                <w:color w:val="auto"/>
                <w:sz w:val="24"/>
                <w:szCs w:val="24"/>
              </w:rPr>
              <w:t>59 390,22 $</w:t>
            </w:r>
          </w:p>
        </w:tc>
      </w:tr>
      <w:tr w:rsidR="000C7956" w:rsidRPr="0090237D" w14:paraId="51C21104" w14:textId="77777777" w:rsidTr="00033168">
        <w:trPr>
          <w:gridAfter w:val="1"/>
          <w:wAfter w:w="900" w:type="dxa"/>
        </w:trPr>
        <w:tc>
          <w:tcPr>
            <w:tcW w:w="6120" w:type="dxa"/>
          </w:tcPr>
          <w:p w14:paraId="29C784F1" w14:textId="77777777" w:rsidR="000C7956" w:rsidRPr="0090237D" w:rsidRDefault="000C7956" w:rsidP="00033168">
            <w:pPr>
              <w:rPr>
                <w:rFonts w:ascii="Times New Roman" w:eastAsia="Times New Roman" w:hAnsi="Times New Roman" w:cs="Times New Roman"/>
                <w:b/>
                <w:color w:val="auto"/>
                <w:sz w:val="24"/>
                <w:szCs w:val="24"/>
                <w:lang w:val="en-CA" w:eastAsia="en-US"/>
              </w:rPr>
            </w:pPr>
          </w:p>
        </w:tc>
        <w:tc>
          <w:tcPr>
            <w:tcW w:w="1620" w:type="dxa"/>
          </w:tcPr>
          <w:p w14:paraId="6643CAA5" w14:textId="77777777" w:rsidR="000C7956" w:rsidRPr="0090237D" w:rsidRDefault="000C7956" w:rsidP="00033168">
            <w:pPr>
              <w:jc w:val="right"/>
              <w:rPr>
                <w:rFonts w:ascii="Times New Roman" w:eastAsia="Times New Roman" w:hAnsi="Times New Roman" w:cs="Times New Roman"/>
                <w:b/>
                <w:color w:val="auto"/>
                <w:sz w:val="24"/>
                <w:szCs w:val="24"/>
                <w:lang w:eastAsia="en-US"/>
              </w:rPr>
            </w:pPr>
          </w:p>
        </w:tc>
      </w:tr>
      <w:tr w:rsidR="000C7956" w:rsidRPr="0090237D" w14:paraId="10D25F29" w14:textId="77777777" w:rsidTr="000C7956">
        <w:tc>
          <w:tcPr>
            <w:tcW w:w="6120" w:type="dxa"/>
          </w:tcPr>
          <w:p w14:paraId="1D13AC5C" w14:textId="77777777" w:rsidR="000C7956" w:rsidRPr="0090237D" w:rsidRDefault="000C7956" w:rsidP="00033168">
            <w:pPr>
              <w:rPr>
                <w:rFonts w:ascii="Times New Roman" w:eastAsia="Times New Roman" w:hAnsi="Times New Roman" w:cs="Times New Roman"/>
                <w:b/>
                <w:color w:val="auto"/>
                <w:sz w:val="24"/>
                <w:szCs w:val="24"/>
                <w:lang w:val="en-CA" w:eastAsia="en-US"/>
              </w:rPr>
            </w:pPr>
          </w:p>
        </w:tc>
        <w:tc>
          <w:tcPr>
            <w:tcW w:w="2520" w:type="dxa"/>
            <w:gridSpan w:val="2"/>
          </w:tcPr>
          <w:p w14:paraId="16C7FA19" w14:textId="77777777" w:rsidR="000C7956" w:rsidRPr="0090237D" w:rsidRDefault="000C7956" w:rsidP="00033168">
            <w:pPr>
              <w:jc w:val="right"/>
              <w:rPr>
                <w:rFonts w:ascii="Times New Roman" w:eastAsia="Times New Roman" w:hAnsi="Times New Roman" w:cs="Times New Roman"/>
                <w:b/>
                <w:color w:val="auto"/>
                <w:sz w:val="24"/>
                <w:szCs w:val="24"/>
                <w:lang w:eastAsia="en-US"/>
              </w:rPr>
            </w:pPr>
          </w:p>
        </w:tc>
      </w:tr>
      <w:tr w:rsidR="000C7956" w:rsidRPr="0090237D" w14:paraId="24DFCB57" w14:textId="77777777" w:rsidTr="000C7956">
        <w:tc>
          <w:tcPr>
            <w:tcW w:w="8640" w:type="dxa"/>
            <w:gridSpan w:val="3"/>
          </w:tcPr>
          <w:p w14:paraId="719965B5" w14:textId="0048F82E" w:rsidR="000C7956" w:rsidRPr="0090237D" w:rsidRDefault="00CB229F" w:rsidP="000C7956">
            <w:pPr>
              <w:jc w:val="center"/>
              <w:rPr>
                <w:rFonts w:ascii="Times New Roman" w:eastAsia="Times New Roman" w:hAnsi="Times New Roman" w:cs="Times New Roman"/>
                <w:b/>
                <w:color w:val="auto"/>
                <w:sz w:val="24"/>
                <w:szCs w:val="24"/>
              </w:rPr>
            </w:pPr>
            <w:r w:rsidRPr="0090237D">
              <w:rPr>
                <w:rFonts w:ascii="Times New Roman" w:hAnsi="Times New Roman"/>
                <w:b/>
                <w:color w:val="auto"/>
                <w:sz w:val="24"/>
                <w:szCs w:val="24"/>
              </w:rPr>
              <w:t>En date du 2 février 2019</w:t>
            </w:r>
          </w:p>
        </w:tc>
      </w:tr>
      <w:tr w:rsidR="000C7956" w:rsidRPr="0090237D" w14:paraId="285F392E" w14:textId="77777777" w:rsidTr="00033168">
        <w:trPr>
          <w:gridAfter w:val="1"/>
          <w:wAfter w:w="900" w:type="dxa"/>
        </w:trPr>
        <w:tc>
          <w:tcPr>
            <w:tcW w:w="6120" w:type="dxa"/>
          </w:tcPr>
          <w:p w14:paraId="38888260" w14:textId="77777777" w:rsidR="000C7956" w:rsidRPr="0090237D" w:rsidRDefault="000C7956" w:rsidP="00033168">
            <w:pPr>
              <w:rPr>
                <w:rFonts w:ascii="Times New Roman" w:eastAsia="Times New Roman" w:hAnsi="Times New Roman" w:cs="Times New Roman"/>
                <w:b/>
                <w:color w:val="auto"/>
                <w:sz w:val="24"/>
                <w:szCs w:val="24"/>
                <w:lang w:eastAsia="en-US"/>
              </w:rPr>
            </w:pPr>
          </w:p>
        </w:tc>
        <w:tc>
          <w:tcPr>
            <w:tcW w:w="1620" w:type="dxa"/>
          </w:tcPr>
          <w:p w14:paraId="67FE786F" w14:textId="77777777" w:rsidR="000C7956" w:rsidRPr="0090237D" w:rsidRDefault="000C7956" w:rsidP="00033168">
            <w:pPr>
              <w:jc w:val="right"/>
              <w:rPr>
                <w:rFonts w:ascii="Times New Roman" w:eastAsia="Times New Roman" w:hAnsi="Times New Roman" w:cs="Times New Roman"/>
                <w:b/>
                <w:color w:val="auto"/>
                <w:sz w:val="24"/>
                <w:szCs w:val="24"/>
                <w:lang w:eastAsia="en-US"/>
              </w:rPr>
            </w:pPr>
          </w:p>
        </w:tc>
      </w:tr>
      <w:tr w:rsidR="000C7956" w:rsidRPr="0090237D" w14:paraId="5BAA3496" w14:textId="77777777" w:rsidTr="00033168">
        <w:trPr>
          <w:gridAfter w:val="1"/>
          <w:wAfter w:w="900" w:type="dxa"/>
        </w:trPr>
        <w:tc>
          <w:tcPr>
            <w:tcW w:w="6120" w:type="dxa"/>
          </w:tcPr>
          <w:p w14:paraId="6821610A" w14:textId="7626EFC0" w:rsidR="000C7956" w:rsidRPr="0090237D" w:rsidRDefault="00CB229F" w:rsidP="00033168">
            <w:pPr>
              <w:rPr>
                <w:rFonts w:ascii="Times New Roman" w:eastAsia="Times New Roman" w:hAnsi="Times New Roman" w:cs="Times New Roman"/>
                <w:b/>
                <w:color w:val="auto"/>
                <w:sz w:val="24"/>
                <w:szCs w:val="24"/>
              </w:rPr>
            </w:pPr>
            <w:r w:rsidRPr="0090237D">
              <w:rPr>
                <w:rFonts w:ascii="Times New Roman" w:hAnsi="Times New Roman"/>
                <w:b/>
                <w:color w:val="auto"/>
                <w:sz w:val="24"/>
                <w:szCs w:val="24"/>
              </w:rPr>
              <w:t>Banque de Montréal</w:t>
            </w:r>
          </w:p>
        </w:tc>
        <w:tc>
          <w:tcPr>
            <w:tcW w:w="1620" w:type="dxa"/>
          </w:tcPr>
          <w:p w14:paraId="6394B9D6" w14:textId="77777777" w:rsidR="000C7956" w:rsidRPr="0090237D" w:rsidRDefault="000C7956" w:rsidP="00033168">
            <w:pPr>
              <w:jc w:val="right"/>
              <w:rPr>
                <w:rFonts w:ascii="Times New Roman" w:eastAsia="Times New Roman" w:hAnsi="Times New Roman" w:cs="Times New Roman"/>
                <w:b/>
                <w:color w:val="auto"/>
                <w:sz w:val="24"/>
                <w:szCs w:val="24"/>
                <w:lang w:eastAsia="en-US"/>
              </w:rPr>
            </w:pPr>
          </w:p>
        </w:tc>
      </w:tr>
      <w:tr w:rsidR="000C7956" w:rsidRPr="0090237D" w14:paraId="515AECA6" w14:textId="77777777" w:rsidTr="00033168">
        <w:trPr>
          <w:gridAfter w:val="1"/>
          <w:wAfter w:w="900" w:type="dxa"/>
        </w:trPr>
        <w:tc>
          <w:tcPr>
            <w:tcW w:w="6120" w:type="dxa"/>
          </w:tcPr>
          <w:p w14:paraId="2BB04346" w14:textId="77777777" w:rsidR="000C7956" w:rsidRPr="0090237D" w:rsidRDefault="000C7956" w:rsidP="00033168">
            <w:pPr>
              <w:rPr>
                <w:rFonts w:ascii="Times New Roman" w:eastAsia="Times New Roman" w:hAnsi="Times New Roman" w:cs="Times New Roman"/>
                <w:b/>
                <w:color w:val="auto"/>
                <w:sz w:val="24"/>
                <w:szCs w:val="24"/>
                <w:lang w:val="en-CA" w:eastAsia="en-US"/>
              </w:rPr>
            </w:pPr>
          </w:p>
        </w:tc>
        <w:tc>
          <w:tcPr>
            <w:tcW w:w="1620" w:type="dxa"/>
          </w:tcPr>
          <w:p w14:paraId="241193AC" w14:textId="77777777" w:rsidR="000C7956" w:rsidRPr="0090237D" w:rsidRDefault="000C7956" w:rsidP="00033168">
            <w:pPr>
              <w:jc w:val="right"/>
              <w:rPr>
                <w:rFonts w:ascii="Times New Roman" w:eastAsia="Times New Roman" w:hAnsi="Times New Roman" w:cs="Times New Roman"/>
                <w:b/>
                <w:color w:val="auto"/>
                <w:sz w:val="24"/>
                <w:szCs w:val="24"/>
                <w:lang w:eastAsia="en-US"/>
              </w:rPr>
            </w:pPr>
          </w:p>
        </w:tc>
      </w:tr>
      <w:tr w:rsidR="000C7956" w:rsidRPr="0090237D" w14:paraId="61F6B009" w14:textId="77777777" w:rsidTr="00033168">
        <w:trPr>
          <w:gridAfter w:val="1"/>
          <w:wAfter w:w="900" w:type="dxa"/>
        </w:trPr>
        <w:tc>
          <w:tcPr>
            <w:tcW w:w="6120" w:type="dxa"/>
          </w:tcPr>
          <w:p w14:paraId="28357ADE" w14:textId="5B748D24" w:rsidR="000C7956" w:rsidRPr="0090237D" w:rsidRDefault="00CB229F" w:rsidP="00033168">
            <w:pPr>
              <w:rPr>
                <w:rFonts w:ascii="Times New Roman" w:eastAsia="Times New Roman" w:hAnsi="Times New Roman" w:cs="Times New Roman"/>
                <w:b/>
                <w:color w:val="auto"/>
                <w:sz w:val="24"/>
                <w:szCs w:val="24"/>
              </w:rPr>
            </w:pPr>
            <w:r w:rsidRPr="0090237D">
              <w:rPr>
                <w:rFonts w:ascii="Times New Roman" w:hAnsi="Times New Roman"/>
                <w:color w:val="auto"/>
                <w:sz w:val="24"/>
                <w:szCs w:val="24"/>
              </w:rPr>
              <w:t>Placement à terme</w:t>
            </w:r>
          </w:p>
        </w:tc>
        <w:tc>
          <w:tcPr>
            <w:tcW w:w="1620" w:type="dxa"/>
          </w:tcPr>
          <w:p w14:paraId="26B752F8" w14:textId="77777777" w:rsidR="000C7956" w:rsidRPr="0090237D" w:rsidRDefault="000C7956" w:rsidP="00033168">
            <w:pPr>
              <w:jc w:val="right"/>
              <w:rPr>
                <w:rFonts w:ascii="Times New Roman" w:eastAsia="Times New Roman" w:hAnsi="Times New Roman" w:cs="Times New Roman"/>
                <w:b/>
                <w:color w:val="auto"/>
                <w:sz w:val="24"/>
                <w:szCs w:val="24"/>
              </w:rPr>
            </w:pPr>
            <w:r w:rsidRPr="0090237D">
              <w:rPr>
                <w:rFonts w:ascii="Times New Roman" w:hAnsi="Times New Roman"/>
                <w:color w:val="auto"/>
                <w:sz w:val="24"/>
                <w:szCs w:val="24"/>
              </w:rPr>
              <w:t>6 804,40 $</w:t>
            </w:r>
          </w:p>
        </w:tc>
      </w:tr>
      <w:tr w:rsidR="000C7956" w:rsidRPr="0090237D" w14:paraId="5CEDF85D" w14:textId="77777777" w:rsidTr="00033168">
        <w:trPr>
          <w:gridAfter w:val="1"/>
          <w:wAfter w:w="900" w:type="dxa"/>
        </w:trPr>
        <w:tc>
          <w:tcPr>
            <w:tcW w:w="6120" w:type="dxa"/>
          </w:tcPr>
          <w:p w14:paraId="4FCC2F19" w14:textId="77777777" w:rsidR="000C7956" w:rsidRPr="0090237D" w:rsidRDefault="000C7956" w:rsidP="00033168">
            <w:pPr>
              <w:rPr>
                <w:rFonts w:ascii="Times New Roman" w:eastAsia="Times New Roman" w:hAnsi="Times New Roman" w:cs="Times New Roman"/>
                <w:b/>
                <w:color w:val="auto"/>
                <w:sz w:val="24"/>
                <w:szCs w:val="24"/>
                <w:lang w:val="en-CA" w:eastAsia="en-US"/>
              </w:rPr>
            </w:pPr>
          </w:p>
        </w:tc>
        <w:tc>
          <w:tcPr>
            <w:tcW w:w="1620" w:type="dxa"/>
          </w:tcPr>
          <w:p w14:paraId="6737A626" w14:textId="77777777" w:rsidR="000C7956" w:rsidRPr="0090237D" w:rsidRDefault="000C7956" w:rsidP="00033168">
            <w:pPr>
              <w:jc w:val="right"/>
              <w:rPr>
                <w:rFonts w:ascii="Times New Roman" w:eastAsia="Times New Roman" w:hAnsi="Times New Roman" w:cs="Times New Roman"/>
                <w:b/>
                <w:color w:val="auto"/>
                <w:sz w:val="24"/>
                <w:szCs w:val="24"/>
                <w:lang w:eastAsia="en-US"/>
              </w:rPr>
            </w:pPr>
          </w:p>
        </w:tc>
      </w:tr>
    </w:tbl>
    <w:p w14:paraId="305DEB97" w14:textId="77777777" w:rsidR="00E719EC" w:rsidRPr="0090237D" w:rsidRDefault="00E719EC" w:rsidP="00E719EC">
      <w:pPr>
        <w:spacing w:before="0" w:after="0" w:line="240" w:lineRule="auto"/>
        <w:jc w:val="center"/>
        <w:rPr>
          <w:rFonts w:ascii="Times New Roman" w:eastAsia="Times New Roman" w:hAnsi="Times New Roman" w:cs="Times New Roman"/>
          <w:b/>
          <w:color w:val="auto"/>
          <w:sz w:val="24"/>
          <w:szCs w:val="24"/>
          <w:lang w:eastAsia="en-US"/>
        </w:rPr>
      </w:pPr>
    </w:p>
    <w:p w14:paraId="1E23D799" w14:textId="77777777" w:rsidR="00E719EC" w:rsidRPr="0090237D" w:rsidRDefault="00E719EC" w:rsidP="00E719EC">
      <w:pPr>
        <w:rPr>
          <w:b/>
          <w:color w:val="auto"/>
        </w:rPr>
      </w:pPr>
      <w:r w:rsidRPr="0090237D">
        <w:rPr>
          <w:color w:val="auto"/>
        </w:rPr>
        <w:br w:type="page"/>
      </w:r>
    </w:p>
    <w:p w14:paraId="6012D6F5" w14:textId="77777777" w:rsidR="00E719EC" w:rsidRPr="0090237D" w:rsidRDefault="00E719EC" w:rsidP="00E719EC">
      <w:pPr>
        <w:rPr>
          <w:b/>
          <w:color w:val="auto"/>
        </w:rPr>
      </w:pPr>
    </w:p>
    <w:p w14:paraId="4DCD4EB1" w14:textId="3D95838A" w:rsidR="00E719EC" w:rsidRPr="0090237D" w:rsidRDefault="00CB229F" w:rsidP="00E719EC">
      <w:pPr>
        <w:jc w:val="center"/>
        <w:rPr>
          <w:rFonts w:ascii="Times New Roman" w:hAnsi="Times New Roman" w:cs="Times New Roman"/>
          <w:b/>
          <w:color w:val="auto"/>
          <w:sz w:val="24"/>
          <w:szCs w:val="24"/>
        </w:rPr>
      </w:pPr>
      <w:r w:rsidRPr="0090237D">
        <w:rPr>
          <w:rFonts w:ascii="Times New Roman" w:hAnsi="Times New Roman"/>
          <w:b/>
          <w:color w:val="auto"/>
          <w:sz w:val="24"/>
          <w:szCs w:val="24"/>
        </w:rPr>
        <w:t>Banque de Montréal</w:t>
      </w:r>
    </w:p>
    <w:p w14:paraId="5850C666" w14:textId="77777777" w:rsidR="00E719EC" w:rsidRPr="0090237D" w:rsidRDefault="00E719EC" w:rsidP="00E719EC">
      <w:pPr>
        <w:jc w:val="center"/>
        <w:rPr>
          <w:rFonts w:ascii="Times New Roman" w:hAnsi="Times New Roman" w:cs="Times New Roman"/>
          <w:b/>
          <w:color w:val="auto"/>
          <w:sz w:val="24"/>
          <w:szCs w:val="24"/>
        </w:rPr>
      </w:pPr>
    </w:p>
    <w:p w14:paraId="2DD818B0" w14:textId="05CDF462" w:rsidR="00E719EC" w:rsidRPr="0090237D" w:rsidRDefault="00CB229F" w:rsidP="00E719EC">
      <w:pPr>
        <w:jc w:val="center"/>
        <w:rPr>
          <w:rFonts w:ascii="Times New Roman" w:hAnsi="Times New Roman" w:cs="Times New Roman"/>
          <w:b/>
          <w:color w:val="auto"/>
          <w:sz w:val="24"/>
          <w:szCs w:val="24"/>
        </w:rPr>
      </w:pPr>
      <w:r w:rsidRPr="0090237D">
        <w:rPr>
          <w:rFonts w:ascii="Times New Roman" w:hAnsi="Times New Roman"/>
          <w:b/>
          <w:color w:val="auto"/>
          <w:sz w:val="24"/>
          <w:szCs w:val="24"/>
        </w:rPr>
        <w:t>Investissements à terme</w:t>
      </w:r>
    </w:p>
    <w:p w14:paraId="5637E56A" w14:textId="0B28DF75" w:rsidR="00E719EC" w:rsidRPr="0090237D" w:rsidRDefault="00CB229F" w:rsidP="00E719EC">
      <w:pPr>
        <w:jc w:val="center"/>
        <w:rPr>
          <w:rFonts w:ascii="Times New Roman" w:hAnsi="Times New Roman" w:cs="Times New Roman"/>
          <w:b/>
          <w:color w:val="auto"/>
          <w:sz w:val="24"/>
          <w:szCs w:val="24"/>
        </w:rPr>
      </w:pPr>
      <w:r w:rsidRPr="0090237D">
        <w:rPr>
          <w:rFonts w:ascii="Times New Roman" w:hAnsi="Times New Roman"/>
          <w:b/>
          <w:color w:val="auto"/>
          <w:sz w:val="24"/>
          <w:szCs w:val="24"/>
        </w:rPr>
        <w:t>Du 4 février 2018 au 2 février 2019</w:t>
      </w:r>
    </w:p>
    <w:p w14:paraId="3968E64E" w14:textId="77777777" w:rsidR="00E719EC" w:rsidRPr="0090237D" w:rsidRDefault="00E719EC" w:rsidP="00E719EC">
      <w:pPr>
        <w:jc w:val="center"/>
        <w:rPr>
          <w:rFonts w:ascii="Times New Roman" w:hAnsi="Times New Roman" w:cs="Times New Roman"/>
          <w:b/>
          <w:color w:val="auto"/>
          <w:sz w:val="24"/>
          <w:szCs w:val="24"/>
        </w:rPr>
      </w:pPr>
    </w:p>
    <w:p w14:paraId="08580D2A" w14:textId="77777777" w:rsidR="00E719EC" w:rsidRPr="0090237D" w:rsidRDefault="00E719EC" w:rsidP="00E719EC">
      <w:pPr>
        <w:rPr>
          <w:rFonts w:ascii="Times New Roman" w:hAnsi="Times New Roman" w:cs="Times New Roman"/>
          <w:color w:val="auto"/>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1086"/>
        <w:gridCol w:w="1807"/>
      </w:tblGrid>
      <w:tr w:rsidR="00224DB0" w:rsidRPr="0090237D" w14:paraId="67BE7B31" w14:textId="77777777" w:rsidTr="0058573B">
        <w:tc>
          <w:tcPr>
            <w:tcW w:w="4770" w:type="dxa"/>
          </w:tcPr>
          <w:p w14:paraId="34FDBB08" w14:textId="18CB5EAC" w:rsidR="00224DB0" w:rsidRPr="0090237D" w:rsidRDefault="00CB229F" w:rsidP="00E719EC">
            <w:pPr>
              <w:rPr>
                <w:rFonts w:ascii="Times New Roman" w:hAnsi="Times New Roman" w:cs="Times New Roman"/>
                <w:color w:val="auto"/>
                <w:sz w:val="24"/>
                <w:szCs w:val="24"/>
              </w:rPr>
            </w:pPr>
            <w:r w:rsidRPr="0090237D">
              <w:rPr>
                <w:rFonts w:ascii="Times New Roman" w:hAnsi="Times New Roman"/>
                <w:color w:val="auto"/>
                <w:sz w:val="24"/>
                <w:szCs w:val="24"/>
              </w:rPr>
              <w:t>Solde d'ouverture</w:t>
            </w:r>
          </w:p>
        </w:tc>
        <w:tc>
          <w:tcPr>
            <w:tcW w:w="1086" w:type="dxa"/>
          </w:tcPr>
          <w:p w14:paraId="04FCF348" w14:textId="77777777" w:rsidR="00224DB0" w:rsidRPr="0090237D" w:rsidRDefault="00224DB0" w:rsidP="00AB4AF8">
            <w:pPr>
              <w:jc w:val="right"/>
              <w:rPr>
                <w:rFonts w:ascii="Times New Roman" w:hAnsi="Times New Roman" w:cs="Times New Roman"/>
                <w:color w:val="auto"/>
                <w:sz w:val="24"/>
                <w:szCs w:val="24"/>
              </w:rPr>
            </w:pPr>
          </w:p>
        </w:tc>
        <w:tc>
          <w:tcPr>
            <w:tcW w:w="1807" w:type="dxa"/>
          </w:tcPr>
          <w:p w14:paraId="770DCEAB" w14:textId="77777777" w:rsidR="00224DB0" w:rsidRPr="0090237D" w:rsidRDefault="00531702" w:rsidP="008E3217">
            <w:pPr>
              <w:jc w:val="right"/>
              <w:rPr>
                <w:rFonts w:ascii="Times New Roman" w:hAnsi="Times New Roman" w:cs="Times New Roman"/>
                <w:color w:val="auto"/>
                <w:sz w:val="24"/>
                <w:szCs w:val="24"/>
              </w:rPr>
            </w:pPr>
            <w:r w:rsidRPr="0090237D">
              <w:rPr>
                <w:rFonts w:ascii="Times New Roman" w:hAnsi="Times New Roman"/>
                <w:b/>
                <w:color w:val="auto"/>
                <w:sz w:val="24"/>
                <w:szCs w:val="24"/>
              </w:rPr>
              <w:t>6 730,37 </w:t>
            </w:r>
            <w:r w:rsidRPr="0090237D">
              <w:rPr>
                <w:rFonts w:ascii="Times New Roman" w:hAnsi="Times New Roman"/>
                <w:color w:val="auto"/>
                <w:sz w:val="24"/>
                <w:szCs w:val="24"/>
              </w:rPr>
              <w:t>$</w:t>
            </w:r>
          </w:p>
        </w:tc>
      </w:tr>
      <w:tr w:rsidR="00224DB0" w:rsidRPr="0090237D" w14:paraId="5F24FC71" w14:textId="77777777" w:rsidTr="0058573B">
        <w:tc>
          <w:tcPr>
            <w:tcW w:w="4770" w:type="dxa"/>
          </w:tcPr>
          <w:p w14:paraId="1188F76C" w14:textId="77777777" w:rsidR="00224DB0" w:rsidRPr="0090237D" w:rsidRDefault="00224DB0" w:rsidP="00E719EC">
            <w:pPr>
              <w:rPr>
                <w:rFonts w:ascii="Times New Roman" w:hAnsi="Times New Roman" w:cs="Times New Roman"/>
                <w:color w:val="auto"/>
                <w:sz w:val="24"/>
                <w:szCs w:val="24"/>
              </w:rPr>
            </w:pPr>
          </w:p>
        </w:tc>
        <w:tc>
          <w:tcPr>
            <w:tcW w:w="1086" w:type="dxa"/>
          </w:tcPr>
          <w:p w14:paraId="4E889DEF" w14:textId="77777777" w:rsidR="00224DB0" w:rsidRPr="0090237D" w:rsidRDefault="00224DB0" w:rsidP="00AB4AF8">
            <w:pPr>
              <w:jc w:val="right"/>
              <w:rPr>
                <w:rFonts w:ascii="Times New Roman" w:hAnsi="Times New Roman" w:cs="Times New Roman"/>
                <w:color w:val="auto"/>
                <w:sz w:val="24"/>
                <w:szCs w:val="24"/>
              </w:rPr>
            </w:pPr>
          </w:p>
        </w:tc>
        <w:tc>
          <w:tcPr>
            <w:tcW w:w="1807" w:type="dxa"/>
          </w:tcPr>
          <w:p w14:paraId="6A1FC066" w14:textId="77777777" w:rsidR="00224DB0" w:rsidRPr="0090237D" w:rsidRDefault="00224DB0" w:rsidP="008E3217">
            <w:pPr>
              <w:jc w:val="right"/>
              <w:rPr>
                <w:rFonts w:ascii="Times New Roman" w:hAnsi="Times New Roman" w:cs="Times New Roman"/>
                <w:color w:val="auto"/>
                <w:sz w:val="24"/>
                <w:szCs w:val="24"/>
              </w:rPr>
            </w:pPr>
          </w:p>
        </w:tc>
      </w:tr>
      <w:tr w:rsidR="00224DB0" w:rsidRPr="0090237D" w14:paraId="401A8F8F" w14:textId="77777777" w:rsidTr="0058573B">
        <w:tc>
          <w:tcPr>
            <w:tcW w:w="4770" w:type="dxa"/>
          </w:tcPr>
          <w:p w14:paraId="28F570C4" w14:textId="1AF91059" w:rsidR="00224DB0" w:rsidRPr="0090237D" w:rsidRDefault="00CB229F" w:rsidP="00E719EC">
            <w:pPr>
              <w:rPr>
                <w:rFonts w:ascii="Times New Roman" w:hAnsi="Times New Roman" w:cs="Times New Roman"/>
                <w:color w:val="auto"/>
                <w:sz w:val="24"/>
                <w:szCs w:val="24"/>
                <w:lang w:val="en-CA"/>
              </w:rPr>
            </w:pPr>
            <w:r w:rsidRPr="0090237D">
              <w:rPr>
                <w:rFonts w:ascii="Times New Roman" w:hAnsi="Times New Roman"/>
                <w:color w:val="auto"/>
                <w:sz w:val="24"/>
                <w:szCs w:val="24"/>
                <w:lang w:val="en-CA"/>
              </w:rPr>
              <w:t>Date d’échéance : 22 juillet 2019</w:t>
            </w:r>
          </w:p>
        </w:tc>
        <w:tc>
          <w:tcPr>
            <w:tcW w:w="1086" w:type="dxa"/>
          </w:tcPr>
          <w:p w14:paraId="6AF3D063" w14:textId="77777777" w:rsidR="00224DB0" w:rsidRPr="0090237D" w:rsidRDefault="00224DB0" w:rsidP="00AB4AF8">
            <w:pPr>
              <w:jc w:val="right"/>
              <w:rPr>
                <w:rFonts w:ascii="Times New Roman" w:hAnsi="Times New Roman" w:cs="Times New Roman"/>
                <w:color w:val="auto"/>
                <w:sz w:val="24"/>
                <w:szCs w:val="24"/>
                <w:lang w:val="en-CA"/>
              </w:rPr>
            </w:pPr>
          </w:p>
        </w:tc>
        <w:tc>
          <w:tcPr>
            <w:tcW w:w="1807" w:type="dxa"/>
          </w:tcPr>
          <w:p w14:paraId="268E6738" w14:textId="77777777" w:rsidR="00224DB0" w:rsidRPr="0090237D" w:rsidRDefault="00224DB0" w:rsidP="008E3217">
            <w:pPr>
              <w:jc w:val="right"/>
              <w:rPr>
                <w:rFonts w:ascii="Times New Roman" w:hAnsi="Times New Roman" w:cs="Times New Roman"/>
                <w:color w:val="auto"/>
                <w:sz w:val="24"/>
                <w:szCs w:val="24"/>
                <w:lang w:val="en-CA"/>
              </w:rPr>
            </w:pPr>
          </w:p>
        </w:tc>
      </w:tr>
      <w:tr w:rsidR="00224DB0" w:rsidRPr="0090237D" w14:paraId="7AAA9EDE" w14:textId="77777777" w:rsidTr="0058573B">
        <w:tc>
          <w:tcPr>
            <w:tcW w:w="4770" w:type="dxa"/>
          </w:tcPr>
          <w:p w14:paraId="56022DF9" w14:textId="77777777" w:rsidR="00224DB0" w:rsidRPr="0090237D" w:rsidRDefault="00224DB0" w:rsidP="00E719EC">
            <w:pPr>
              <w:rPr>
                <w:rFonts w:ascii="Times New Roman" w:hAnsi="Times New Roman" w:cs="Times New Roman"/>
                <w:color w:val="auto"/>
                <w:sz w:val="24"/>
                <w:szCs w:val="24"/>
                <w:lang w:val="en-CA"/>
              </w:rPr>
            </w:pPr>
          </w:p>
        </w:tc>
        <w:tc>
          <w:tcPr>
            <w:tcW w:w="1086" w:type="dxa"/>
          </w:tcPr>
          <w:p w14:paraId="2CAA9F2C" w14:textId="77777777" w:rsidR="00224DB0" w:rsidRPr="0090237D" w:rsidRDefault="00224DB0" w:rsidP="00AB4AF8">
            <w:pPr>
              <w:jc w:val="right"/>
              <w:rPr>
                <w:rFonts w:ascii="Times New Roman" w:hAnsi="Times New Roman" w:cs="Times New Roman"/>
                <w:color w:val="auto"/>
                <w:sz w:val="24"/>
                <w:szCs w:val="24"/>
                <w:lang w:val="en-CA"/>
              </w:rPr>
            </w:pPr>
          </w:p>
        </w:tc>
        <w:tc>
          <w:tcPr>
            <w:tcW w:w="1807" w:type="dxa"/>
          </w:tcPr>
          <w:p w14:paraId="28A91C2C" w14:textId="77777777" w:rsidR="00224DB0" w:rsidRPr="0090237D" w:rsidRDefault="00224DB0" w:rsidP="008E3217">
            <w:pPr>
              <w:jc w:val="right"/>
              <w:rPr>
                <w:rFonts w:ascii="Times New Roman" w:hAnsi="Times New Roman" w:cs="Times New Roman"/>
                <w:color w:val="auto"/>
                <w:sz w:val="24"/>
                <w:szCs w:val="24"/>
                <w:lang w:val="en-CA"/>
              </w:rPr>
            </w:pPr>
          </w:p>
        </w:tc>
      </w:tr>
      <w:tr w:rsidR="008E3217" w:rsidRPr="0090237D" w14:paraId="33CDB3FF" w14:textId="77777777" w:rsidTr="0058573B">
        <w:tc>
          <w:tcPr>
            <w:tcW w:w="4770" w:type="dxa"/>
          </w:tcPr>
          <w:p w14:paraId="7E9DB783" w14:textId="77777777" w:rsidR="008E3217" w:rsidRPr="0090237D" w:rsidRDefault="008E3217" w:rsidP="00E719EC">
            <w:pPr>
              <w:rPr>
                <w:rFonts w:ascii="Times New Roman" w:hAnsi="Times New Roman" w:cs="Times New Roman"/>
                <w:color w:val="auto"/>
                <w:sz w:val="24"/>
                <w:szCs w:val="24"/>
                <w:lang w:val="en-CA"/>
              </w:rPr>
            </w:pPr>
          </w:p>
        </w:tc>
        <w:tc>
          <w:tcPr>
            <w:tcW w:w="1086" w:type="dxa"/>
          </w:tcPr>
          <w:p w14:paraId="03960904" w14:textId="77777777" w:rsidR="008E3217" w:rsidRPr="0090237D" w:rsidRDefault="008E3217" w:rsidP="00AB4AF8">
            <w:pPr>
              <w:jc w:val="right"/>
              <w:rPr>
                <w:rFonts w:ascii="Times New Roman" w:hAnsi="Times New Roman" w:cs="Times New Roman"/>
                <w:color w:val="auto"/>
                <w:sz w:val="24"/>
                <w:szCs w:val="24"/>
                <w:lang w:val="en-CA"/>
              </w:rPr>
            </w:pPr>
          </w:p>
        </w:tc>
        <w:tc>
          <w:tcPr>
            <w:tcW w:w="1807" w:type="dxa"/>
          </w:tcPr>
          <w:p w14:paraId="2DE48BA3" w14:textId="77777777" w:rsidR="008E3217" w:rsidRPr="0090237D" w:rsidRDefault="008E3217" w:rsidP="008E3217">
            <w:pPr>
              <w:jc w:val="right"/>
              <w:rPr>
                <w:rFonts w:ascii="Times New Roman" w:hAnsi="Times New Roman" w:cs="Times New Roman"/>
                <w:color w:val="auto"/>
                <w:sz w:val="24"/>
                <w:szCs w:val="24"/>
                <w:lang w:val="en-CA"/>
              </w:rPr>
            </w:pPr>
          </w:p>
        </w:tc>
      </w:tr>
      <w:tr w:rsidR="008E3217" w:rsidRPr="0090237D" w14:paraId="1157E234" w14:textId="77777777" w:rsidTr="0058573B">
        <w:tc>
          <w:tcPr>
            <w:tcW w:w="4770" w:type="dxa"/>
          </w:tcPr>
          <w:p w14:paraId="757F17EC" w14:textId="420A441C" w:rsidR="008E3217" w:rsidRPr="0090237D" w:rsidRDefault="00CB229F" w:rsidP="00E719EC">
            <w:pPr>
              <w:rPr>
                <w:rFonts w:ascii="Times New Roman" w:hAnsi="Times New Roman" w:cs="Times New Roman"/>
                <w:color w:val="auto"/>
                <w:sz w:val="24"/>
                <w:szCs w:val="24"/>
              </w:rPr>
            </w:pPr>
            <w:r w:rsidRPr="0090237D">
              <w:rPr>
                <w:rFonts w:ascii="Times New Roman" w:hAnsi="Times New Roman"/>
                <w:color w:val="auto"/>
                <w:sz w:val="24"/>
                <w:szCs w:val="24"/>
              </w:rPr>
              <w:t>Intérêts payés mais réinvestis</w:t>
            </w:r>
          </w:p>
        </w:tc>
        <w:tc>
          <w:tcPr>
            <w:tcW w:w="1086" w:type="dxa"/>
          </w:tcPr>
          <w:p w14:paraId="27C5B438" w14:textId="77777777" w:rsidR="008E3217" w:rsidRPr="0090237D" w:rsidRDefault="008E3217" w:rsidP="00AB4AF8">
            <w:pPr>
              <w:jc w:val="right"/>
              <w:rPr>
                <w:rFonts w:ascii="Times New Roman" w:hAnsi="Times New Roman" w:cs="Times New Roman"/>
                <w:color w:val="auto"/>
                <w:sz w:val="24"/>
                <w:szCs w:val="24"/>
              </w:rPr>
            </w:pPr>
            <w:r w:rsidRPr="0090237D">
              <w:rPr>
                <w:rFonts w:ascii="Times New Roman" w:hAnsi="Times New Roman"/>
                <w:color w:val="auto"/>
                <w:sz w:val="24"/>
                <w:szCs w:val="24"/>
              </w:rPr>
              <w:t>74,03 $</w:t>
            </w:r>
          </w:p>
        </w:tc>
        <w:tc>
          <w:tcPr>
            <w:tcW w:w="1807" w:type="dxa"/>
          </w:tcPr>
          <w:p w14:paraId="669F8901" w14:textId="77777777" w:rsidR="008E3217" w:rsidRPr="0090237D" w:rsidRDefault="008E3217" w:rsidP="008E3217">
            <w:pPr>
              <w:jc w:val="right"/>
              <w:rPr>
                <w:rFonts w:ascii="Times New Roman" w:hAnsi="Times New Roman" w:cs="Times New Roman"/>
                <w:color w:val="auto"/>
                <w:sz w:val="24"/>
                <w:szCs w:val="24"/>
              </w:rPr>
            </w:pPr>
          </w:p>
        </w:tc>
      </w:tr>
      <w:tr w:rsidR="008E3217" w:rsidRPr="0090237D" w14:paraId="3EF9CDF4" w14:textId="77777777" w:rsidTr="0058573B">
        <w:tc>
          <w:tcPr>
            <w:tcW w:w="4770" w:type="dxa"/>
          </w:tcPr>
          <w:p w14:paraId="738D9B83" w14:textId="77777777" w:rsidR="008E3217" w:rsidRPr="0090237D" w:rsidRDefault="008E3217" w:rsidP="00E719EC">
            <w:pPr>
              <w:rPr>
                <w:rFonts w:ascii="Times New Roman" w:hAnsi="Times New Roman" w:cs="Times New Roman"/>
                <w:color w:val="auto"/>
                <w:sz w:val="24"/>
                <w:szCs w:val="24"/>
              </w:rPr>
            </w:pPr>
          </w:p>
        </w:tc>
        <w:tc>
          <w:tcPr>
            <w:tcW w:w="1086" w:type="dxa"/>
          </w:tcPr>
          <w:p w14:paraId="1A93DA64" w14:textId="77777777" w:rsidR="008E3217" w:rsidRPr="0090237D" w:rsidRDefault="008E3217" w:rsidP="00AB4AF8">
            <w:pPr>
              <w:jc w:val="right"/>
              <w:rPr>
                <w:rFonts w:ascii="Times New Roman" w:hAnsi="Times New Roman" w:cs="Times New Roman"/>
                <w:color w:val="auto"/>
                <w:sz w:val="24"/>
                <w:szCs w:val="24"/>
              </w:rPr>
            </w:pPr>
          </w:p>
        </w:tc>
        <w:tc>
          <w:tcPr>
            <w:tcW w:w="1807" w:type="dxa"/>
          </w:tcPr>
          <w:p w14:paraId="352DF416" w14:textId="77777777" w:rsidR="008E3217" w:rsidRPr="0090237D" w:rsidRDefault="008E3217" w:rsidP="008E3217">
            <w:pPr>
              <w:jc w:val="right"/>
              <w:rPr>
                <w:rFonts w:ascii="Times New Roman" w:hAnsi="Times New Roman" w:cs="Times New Roman"/>
                <w:color w:val="auto"/>
                <w:sz w:val="24"/>
                <w:szCs w:val="24"/>
              </w:rPr>
            </w:pPr>
          </w:p>
        </w:tc>
      </w:tr>
      <w:tr w:rsidR="008E3217" w:rsidRPr="0090237D" w14:paraId="14250DE4" w14:textId="77777777" w:rsidTr="0058573B">
        <w:tc>
          <w:tcPr>
            <w:tcW w:w="4770" w:type="dxa"/>
          </w:tcPr>
          <w:p w14:paraId="105EDAF1" w14:textId="77777777" w:rsidR="008E3217" w:rsidRPr="0090237D" w:rsidRDefault="008E3217" w:rsidP="00E719EC">
            <w:pPr>
              <w:rPr>
                <w:rFonts w:ascii="Times New Roman" w:hAnsi="Times New Roman" w:cs="Times New Roman"/>
                <w:color w:val="auto"/>
                <w:sz w:val="24"/>
                <w:szCs w:val="24"/>
              </w:rPr>
            </w:pPr>
          </w:p>
        </w:tc>
        <w:tc>
          <w:tcPr>
            <w:tcW w:w="1086" w:type="dxa"/>
          </w:tcPr>
          <w:p w14:paraId="2202061A" w14:textId="77777777" w:rsidR="008E3217" w:rsidRPr="0090237D" w:rsidRDefault="008E3217" w:rsidP="00AB4AF8">
            <w:pPr>
              <w:jc w:val="right"/>
              <w:rPr>
                <w:rFonts w:ascii="Times New Roman" w:hAnsi="Times New Roman" w:cs="Times New Roman"/>
                <w:color w:val="auto"/>
                <w:sz w:val="24"/>
                <w:szCs w:val="24"/>
              </w:rPr>
            </w:pPr>
          </w:p>
        </w:tc>
        <w:tc>
          <w:tcPr>
            <w:tcW w:w="1807" w:type="dxa"/>
          </w:tcPr>
          <w:p w14:paraId="42B0CFEA" w14:textId="77777777" w:rsidR="008E3217" w:rsidRPr="0090237D" w:rsidRDefault="008E3217" w:rsidP="008E3217">
            <w:pPr>
              <w:jc w:val="right"/>
              <w:rPr>
                <w:rFonts w:ascii="Times New Roman" w:hAnsi="Times New Roman" w:cs="Times New Roman"/>
                <w:color w:val="auto"/>
                <w:sz w:val="24"/>
                <w:szCs w:val="24"/>
              </w:rPr>
            </w:pPr>
          </w:p>
        </w:tc>
      </w:tr>
      <w:tr w:rsidR="008E3217" w:rsidRPr="0090237D" w14:paraId="7D70CA42" w14:textId="77777777" w:rsidTr="0058573B">
        <w:tc>
          <w:tcPr>
            <w:tcW w:w="4770" w:type="dxa"/>
          </w:tcPr>
          <w:p w14:paraId="6C929B0C" w14:textId="1CE75952" w:rsidR="00977343" w:rsidRPr="0090237D" w:rsidRDefault="00CB229F" w:rsidP="00E719EC">
            <w:pPr>
              <w:rPr>
                <w:color w:val="auto"/>
              </w:rPr>
            </w:pPr>
            <w:r w:rsidRPr="0090237D">
              <w:rPr>
                <w:rFonts w:ascii="Times New Roman" w:hAnsi="Times New Roman"/>
                <w:color w:val="auto"/>
                <w:sz w:val="24"/>
                <w:szCs w:val="24"/>
              </w:rPr>
              <w:t>Solde de clôture</w:t>
            </w:r>
          </w:p>
        </w:tc>
        <w:tc>
          <w:tcPr>
            <w:tcW w:w="1086" w:type="dxa"/>
          </w:tcPr>
          <w:p w14:paraId="4F53168A" w14:textId="77777777" w:rsidR="008E3217" w:rsidRPr="0090237D" w:rsidRDefault="008E3217" w:rsidP="00AB4AF8">
            <w:pPr>
              <w:jc w:val="right"/>
              <w:rPr>
                <w:rFonts w:ascii="Times New Roman" w:hAnsi="Times New Roman" w:cs="Times New Roman"/>
                <w:color w:val="auto"/>
                <w:sz w:val="24"/>
                <w:szCs w:val="24"/>
              </w:rPr>
            </w:pPr>
          </w:p>
        </w:tc>
        <w:tc>
          <w:tcPr>
            <w:tcW w:w="1807" w:type="dxa"/>
          </w:tcPr>
          <w:p w14:paraId="41949DA6" w14:textId="77777777" w:rsidR="008E3217" w:rsidRPr="0090237D" w:rsidRDefault="008E3217" w:rsidP="008E3217">
            <w:pPr>
              <w:jc w:val="right"/>
              <w:rPr>
                <w:rFonts w:ascii="Times New Roman" w:hAnsi="Times New Roman" w:cs="Times New Roman"/>
                <w:color w:val="auto"/>
                <w:sz w:val="24"/>
                <w:szCs w:val="24"/>
              </w:rPr>
            </w:pPr>
            <w:r w:rsidRPr="0090237D">
              <w:rPr>
                <w:rFonts w:ascii="Times New Roman" w:hAnsi="Times New Roman"/>
                <w:b/>
                <w:color w:val="auto"/>
                <w:sz w:val="24"/>
                <w:szCs w:val="24"/>
              </w:rPr>
              <w:t>6 804,40 </w:t>
            </w:r>
            <w:r w:rsidRPr="0090237D">
              <w:rPr>
                <w:rFonts w:ascii="Times New Roman" w:hAnsi="Times New Roman"/>
                <w:color w:val="auto"/>
                <w:sz w:val="24"/>
                <w:szCs w:val="24"/>
              </w:rPr>
              <w:t>$</w:t>
            </w:r>
          </w:p>
        </w:tc>
      </w:tr>
      <w:tr w:rsidR="002269F4" w:rsidRPr="0090237D" w14:paraId="3B00B8B9" w14:textId="77777777" w:rsidTr="0058573B">
        <w:tc>
          <w:tcPr>
            <w:tcW w:w="4770" w:type="dxa"/>
          </w:tcPr>
          <w:p w14:paraId="6B0C47D3" w14:textId="77777777" w:rsidR="002269F4" w:rsidRPr="0090237D" w:rsidRDefault="002269F4" w:rsidP="00E719EC">
            <w:pPr>
              <w:rPr>
                <w:rFonts w:ascii="Times New Roman" w:hAnsi="Times New Roman" w:cs="Times New Roman"/>
                <w:color w:val="auto"/>
                <w:sz w:val="24"/>
                <w:szCs w:val="24"/>
              </w:rPr>
            </w:pPr>
          </w:p>
        </w:tc>
        <w:tc>
          <w:tcPr>
            <w:tcW w:w="1086" w:type="dxa"/>
          </w:tcPr>
          <w:p w14:paraId="512C619D" w14:textId="77777777" w:rsidR="002269F4" w:rsidRPr="0090237D" w:rsidRDefault="002269F4" w:rsidP="00AB4AF8">
            <w:pPr>
              <w:jc w:val="right"/>
              <w:rPr>
                <w:rFonts w:ascii="Times New Roman" w:hAnsi="Times New Roman" w:cs="Times New Roman"/>
                <w:color w:val="auto"/>
                <w:sz w:val="24"/>
                <w:szCs w:val="24"/>
              </w:rPr>
            </w:pPr>
          </w:p>
        </w:tc>
        <w:tc>
          <w:tcPr>
            <w:tcW w:w="1807" w:type="dxa"/>
          </w:tcPr>
          <w:p w14:paraId="2EA99688" w14:textId="77777777" w:rsidR="002269F4" w:rsidRPr="0090237D" w:rsidRDefault="002269F4" w:rsidP="008E3217">
            <w:pPr>
              <w:jc w:val="right"/>
              <w:rPr>
                <w:rFonts w:ascii="Times New Roman" w:hAnsi="Times New Roman" w:cs="Times New Roman"/>
                <w:color w:val="auto"/>
                <w:sz w:val="24"/>
                <w:szCs w:val="24"/>
              </w:rPr>
            </w:pPr>
          </w:p>
        </w:tc>
      </w:tr>
      <w:tr w:rsidR="002269F4" w:rsidRPr="0090237D" w14:paraId="176E008D" w14:textId="77777777" w:rsidTr="0058573B">
        <w:tc>
          <w:tcPr>
            <w:tcW w:w="4770" w:type="dxa"/>
          </w:tcPr>
          <w:p w14:paraId="25BB5877" w14:textId="77777777" w:rsidR="002269F4" w:rsidRPr="0090237D" w:rsidRDefault="002269F4" w:rsidP="00E719EC">
            <w:pPr>
              <w:rPr>
                <w:rFonts w:ascii="Times New Roman" w:hAnsi="Times New Roman" w:cs="Times New Roman"/>
                <w:color w:val="auto"/>
                <w:sz w:val="24"/>
                <w:szCs w:val="24"/>
              </w:rPr>
            </w:pPr>
          </w:p>
        </w:tc>
        <w:tc>
          <w:tcPr>
            <w:tcW w:w="1086" w:type="dxa"/>
          </w:tcPr>
          <w:p w14:paraId="1F3D9D1B" w14:textId="77777777" w:rsidR="002269F4" w:rsidRPr="0090237D" w:rsidRDefault="002269F4" w:rsidP="00AB4AF8">
            <w:pPr>
              <w:jc w:val="right"/>
              <w:rPr>
                <w:rFonts w:ascii="Times New Roman" w:hAnsi="Times New Roman" w:cs="Times New Roman"/>
                <w:color w:val="auto"/>
                <w:sz w:val="24"/>
                <w:szCs w:val="24"/>
              </w:rPr>
            </w:pPr>
          </w:p>
        </w:tc>
        <w:tc>
          <w:tcPr>
            <w:tcW w:w="1807" w:type="dxa"/>
          </w:tcPr>
          <w:p w14:paraId="19C0E06A" w14:textId="77777777" w:rsidR="002269F4" w:rsidRPr="0090237D" w:rsidRDefault="002269F4" w:rsidP="008E3217">
            <w:pPr>
              <w:jc w:val="right"/>
              <w:rPr>
                <w:rFonts w:ascii="Times New Roman" w:hAnsi="Times New Roman" w:cs="Times New Roman"/>
                <w:color w:val="auto"/>
                <w:sz w:val="24"/>
                <w:szCs w:val="24"/>
              </w:rPr>
            </w:pPr>
          </w:p>
        </w:tc>
      </w:tr>
      <w:tr w:rsidR="002269F4" w:rsidRPr="0090237D" w14:paraId="19920E52" w14:textId="77777777" w:rsidTr="0058573B">
        <w:tc>
          <w:tcPr>
            <w:tcW w:w="7663" w:type="dxa"/>
            <w:gridSpan w:val="3"/>
          </w:tcPr>
          <w:p w14:paraId="7217E3FB" w14:textId="33434772" w:rsidR="00977343" w:rsidRPr="0090237D" w:rsidRDefault="00CB229F" w:rsidP="002269F4">
            <w:pPr>
              <w:rPr>
                <w:color w:val="auto"/>
                <w:lang w:val="en-CA"/>
              </w:rPr>
            </w:pPr>
            <w:r w:rsidRPr="0090237D">
              <w:rPr>
                <w:rFonts w:ascii="Times New Roman" w:hAnsi="Times New Roman"/>
                <w:b/>
                <w:color w:val="auto"/>
                <w:sz w:val="24"/>
                <w:szCs w:val="24"/>
                <w:lang w:val="en-CA"/>
              </w:rPr>
              <w:t>Bourse Harold-Holland</w:t>
            </w:r>
          </w:p>
        </w:tc>
      </w:tr>
      <w:tr w:rsidR="002269F4" w:rsidRPr="0090237D" w14:paraId="3A5F440B" w14:textId="77777777" w:rsidTr="0058573B">
        <w:tc>
          <w:tcPr>
            <w:tcW w:w="4770" w:type="dxa"/>
          </w:tcPr>
          <w:p w14:paraId="133C1644" w14:textId="77777777" w:rsidR="002269F4" w:rsidRPr="0090237D" w:rsidRDefault="002269F4" w:rsidP="00E719EC">
            <w:pPr>
              <w:rPr>
                <w:rFonts w:ascii="Times New Roman" w:hAnsi="Times New Roman" w:cs="Times New Roman"/>
                <w:color w:val="auto"/>
                <w:sz w:val="24"/>
                <w:szCs w:val="24"/>
                <w:lang w:val="en-CA"/>
              </w:rPr>
            </w:pPr>
          </w:p>
        </w:tc>
        <w:tc>
          <w:tcPr>
            <w:tcW w:w="1086" w:type="dxa"/>
          </w:tcPr>
          <w:p w14:paraId="032EE435" w14:textId="77777777" w:rsidR="002269F4" w:rsidRPr="0090237D" w:rsidRDefault="002269F4" w:rsidP="00AB4AF8">
            <w:pPr>
              <w:jc w:val="right"/>
              <w:rPr>
                <w:rFonts w:ascii="Times New Roman" w:hAnsi="Times New Roman" w:cs="Times New Roman"/>
                <w:color w:val="auto"/>
                <w:sz w:val="24"/>
                <w:szCs w:val="24"/>
                <w:lang w:val="en-CA"/>
              </w:rPr>
            </w:pPr>
          </w:p>
        </w:tc>
        <w:tc>
          <w:tcPr>
            <w:tcW w:w="1807" w:type="dxa"/>
          </w:tcPr>
          <w:p w14:paraId="38F56CE4" w14:textId="77777777" w:rsidR="002269F4" w:rsidRPr="0090237D" w:rsidRDefault="002269F4" w:rsidP="008E3217">
            <w:pPr>
              <w:jc w:val="right"/>
              <w:rPr>
                <w:rFonts w:ascii="Times New Roman" w:hAnsi="Times New Roman" w:cs="Times New Roman"/>
                <w:color w:val="auto"/>
                <w:sz w:val="24"/>
                <w:szCs w:val="24"/>
                <w:lang w:val="en-CA"/>
              </w:rPr>
            </w:pPr>
          </w:p>
        </w:tc>
      </w:tr>
      <w:tr w:rsidR="002269F4" w:rsidRPr="0090237D" w14:paraId="2CC9D11B" w14:textId="77777777" w:rsidTr="0058573B">
        <w:tc>
          <w:tcPr>
            <w:tcW w:w="4770" w:type="dxa"/>
          </w:tcPr>
          <w:p w14:paraId="73C222F9" w14:textId="77777777" w:rsidR="002269F4" w:rsidRPr="0090237D" w:rsidRDefault="002269F4" w:rsidP="00E719EC">
            <w:pPr>
              <w:rPr>
                <w:rFonts w:ascii="Times New Roman" w:hAnsi="Times New Roman" w:cs="Times New Roman"/>
                <w:color w:val="auto"/>
                <w:sz w:val="24"/>
                <w:szCs w:val="24"/>
                <w:lang w:val="en-CA"/>
              </w:rPr>
            </w:pPr>
          </w:p>
        </w:tc>
        <w:tc>
          <w:tcPr>
            <w:tcW w:w="1086" w:type="dxa"/>
          </w:tcPr>
          <w:p w14:paraId="79C4A782" w14:textId="77777777" w:rsidR="002269F4" w:rsidRPr="0090237D" w:rsidRDefault="002269F4" w:rsidP="00AB4AF8">
            <w:pPr>
              <w:jc w:val="right"/>
              <w:rPr>
                <w:rFonts w:ascii="Times New Roman" w:hAnsi="Times New Roman" w:cs="Times New Roman"/>
                <w:color w:val="auto"/>
                <w:sz w:val="24"/>
                <w:szCs w:val="24"/>
                <w:lang w:val="en-CA"/>
              </w:rPr>
            </w:pPr>
          </w:p>
        </w:tc>
        <w:tc>
          <w:tcPr>
            <w:tcW w:w="1807" w:type="dxa"/>
          </w:tcPr>
          <w:p w14:paraId="085B2C94" w14:textId="77777777" w:rsidR="002269F4" w:rsidRPr="0090237D" w:rsidRDefault="002269F4" w:rsidP="008E3217">
            <w:pPr>
              <w:jc w:val="right"/>
              <w:rPr>
                <w:rFonts w:ascii="Times New Roman" w:hAnsi="Times New Roman" w:cs="Times New Roman"/>
                <w:color w:val="auto"/>
                <w:sz w:val="24"/>
                <w:szCs w:val="24"/>
                <w:lang w:val="en-CA"/>
              </w:rPr>
            </w:pPr>
          </w:p>
        </w:tc>
      </w:tr>
      <w:tr w:rsidR="002269F4" w:rsidRPr="0090237D" w14:paraId="4E1D968A" w14:textId="77777777" w:rsidTr="0058573B">
        <w:tc>
          <w:tcPr>
            <w:tcW w:w="4770" w:type="dxa"/>
          </w:tcPr>
          <w:p w14:paraId="5567BA25" w14:textId="1DFDEC83" w:rsidR="00977343" w:rsidRPr="0090237D" w:rsidRDefault="00CB229F" w:rsidP="00E719EC">
            <w:pPr>
              <w:rPr>
                <w:color w:val="auto"/>
              </w:rPr>
            </w:pPr>
            <w:r w:rsidRPr="0090237D">
              <w:rPr>
                <w:rFonts w:ascii="Times New Roman" w:hAnsi="Times New Roman"/>
                <w:color w:val="auto"/>
                <w:sz w:val="24"/>
                <w:szCs w:val="24"/>
              </w:rPr>
              <w:t>Solde d'ouverture</w:t>
            </w:r>
          </w:p>
        </w:tc>
        <w:tc>
          <w:tcPr>
            <w:tcW w:w="1086" w:type="dxa"/>
          </w:tcPr>
          <w:p w14:paraId="075D0645" w14:textId="77777777" w:rsidR="002269F4" w:rsidRPr="0090237D" w:rsidRDefault="002269F4" w:rsidP="00AB4AF8">
            <w:pPr>
              <w:jc w:val="right"/>
              <w:rPr>
                <w:rFonts w:ascii="Times New Roman" w:hAnsi="Times New Roman" w:cs="Times New Roman"/>
                <w:color w:val="auto"/>
                <w:sz w:val="24"/>
                <w:szCs w:val="24"/>
              </w:rPr>
            </w:pPr>
          </w:p>
        </w:tc>
        <w:tc>
          <w:tcPr>
            <w:tcW w:w="1807" w:type="dxa"/>
          </w:tcPr>
          <w:p w14:paraId="16C63CF7" w14:textId="77777777" w:rsidR="002269F4" w:rsidRPr="0090237D" w:rsidRDefault="0058573B" w:rsidP="008E3217">
            <w:pPr>
              <w:jc w:val="right"/>
              <w:rPr>
                <w:rFonts w:ascii="Times New Roman" w:hAnsi="Times New Roman" w:cs="Times New Roman"/>
                <w:color w:val="auto"/>
                <w:sz w:val="24"/>
                <w:szCs w:val="24"/>
              </w:rPr>
            </w:pPr>
            <w:r w:rsidRPr="0090237D">
              <w:rPr>
                <w:rFonts w:ascii="Times New Roman" w:hAnsi="Times New Roman"/>
                <w:b/>
                <w:color w:val="auto"/>
                <w:sz w:val="24"/>
                <w:szCs w:val="24"/>
              </w:rPr>
              <w:t>35 622,46 $</w:t>
            </w:r>
          </w:p>
        </w:tc>
      </w:tr>
      <w:tr w:rsidR="002269F4" w:rsidRPr="0090237D" w14:paraId="6D6FCD2A" w14:textId="77777777" w:rsidTr="0058573B">
        <w:tc>
          <w:tcPr>
            <w:tcW w:w="4770" w:type="dxa"/>
          </w:tcPr>
          <w:p w14:paraId="6024F88F" w14:textId="77777777" w:rsidR="002269F4" w:rsidRPr="0090237D" w:rsidRDefault="002269F4" w:rsidP="00E719EC">
            <w:pPr>
              <w:rPr>
                <w:rFonts w:ascii="Times New Roman" w:hAnsi="Times New Roman" w:cs="Times New Roman"/>
                <w:color w:val="auto"/>
                <w:sz w:val="24"/>
                <w:szCs w:val="24"/>
              </w:rPr>
            </w:pPr>
          </w:p>
        </w:tc>
        <w:tc>
          <w:tcPr>
            <w:tcW w:w="1086" w:type="dxa"/>
          </w:tcPr>
          <w:p w14:paraId="05606A48" w14:textId="77777777" w:rsidR="002269F4" w:rsidRPr="0090237D" w:rsidRDefault="002269F4" w:rsidP="00AB4AF8">
            <w:pPr>
              <w:jc w:val="right"/>
              <w:rPr>
                <w:rFonts w:ascii="Times New Roman" w:hAnsi="Times New Roman" w:cs="Times New Roman"/>
                <w:color w:val="auto"/>
                <w:sz w:val="24"/>
                <w:szCs w:val="24"/>
              </w:rPr>
            </w:pPr>
          </w:p>
        </w:tc>
        <w:tc>
          <w:tcPr>
            <w:tcW w:w="1807" w:type="dxa"/>
          </w:tcPr>
          <w:p w14:paraId="5EDA07F3" w14:textId="77777777" w:rsidR="002269F4" w:rsidRPr="0090237D" w:rsidRDefault="002269F4" w:rsidP="008E3217">
            <w:pPr>
              <w:jc w:val="right"/>
              <w:rPr>
                <w:rFonts w:ascii="Times New Roman" w:hAnsi="Times New Roman" w:cs="Times New Roman"/>
                <w:color w:val="auto"/>
                <w:sz w:val="24"/>
                <w:szCs w:val="24"/>
              </w:rPr>
            </w:pPr>
          </w:p>
        </w:tc>
      </w:tr>
      <w:tr w:rsidR="002269F4" w:rsidRPr="0090237D" w14:paraId="0B5E7878" w14:textId="77777777" w:rsidTr="0058573B">
        <w:tc>
          <w:tcPr>
            <w:tcW w:w="4770" w:type="dxa"/>
          </w:tcPr>
          <w:p w14:paraId="751EC6EE" w14:textId="77777777" w:rsidR="002269F4" w:rsidRPr="0090237D" w:rsidRDefault="002269F4" w:rsidP="00E719EC">
            <w:pPr>
              <w:rPr>
                <w:rFonts w:ascii="Times New Roman" w:hAnsi="Times New Roman" w:cs="Times New Roman"/>
                <w:color w:val="auto"/>
                <w:sz w:val="24"/>
                <w:szCs w:val="24"/>
              </w:rPr>
            </w:pPr>
          </w:p>
        </w:tc>
        <w:tc>
          <w:tcPr>
            <w:tcW w:w="1086" w:type="dxa"/>
          </w:tcPr>
          <w:p w14:paraId="38C29046" w14:textId="77777777" w:rsidR="002269F4" w:rsidRPr="0090237D" w:rsidRDefault="002269F4" w:rsidP="00AB4AF8">
            <w:pPr>
              <w:jc w:val="right"/>
              <w:rPr>
                <w:rFonts w:ascii="Times New Roman" w:hAnsi="Times New Roman" w:cs="Times New Roman"/>
                <w:color w:val="auto"/>
                <w:sz w:val="24"/>
                <w:szCs w:val="24"/>
              </w:rPr>
            </w:pPr>
          </w:p>
        </w:tc>
        <w:tc>
          <w:tcPr>
            <w:tcW w:w="1807" w:type="dxa"/>
          </w:tcPr>
          <w:p w14:paraId="1B2591FE" w14:textId="77777777" w:rsidR="002269F4" w:rsidRPr="0090237D" w:rsidRDefault="002269F4" w:rsidP="008E3217">
            <w:pPr>
              <w:jc w:val="right"/>
              <w:rPr>
                <w:rFonts w:ascii="Times New Roman" w:hAnsi="Times New Roman" w:cs="Times New Roman"/>
                <w:color w:val="auto"/>
                <w:sz w:val="24"/>
                <w:szCs w:val="24"/>
              </w:rPr>
            </w:pPr>
          </w:p>
        </w:tc>
      </w:tr>
      <w:tr w:rsidR="0058573B" w:rsidRPr="0090237D" w14:paraId="0A824275" w14:textId="77777777" w:rsidTr="0058573B">
        <w:tc>
          <w:tcPr>
            <w:tcW w:w="4770" w:type="dxa"/>
          </w:tcPr>
          <w:p w14:paraId="42405A1A" w14:textId="6BFBB3BB" w:rsidR="0058573B" w:rsidRPr="0090237D" w:rsidRDefault="00CB229F" w:rsidP="00E719EC">
            <w:pPr>
              <w:rPr>
                <w:rFonts w:ascii="Times New Roman" w:hAnsi="Times New Roman" w:cs="Times New Roman"/>
                <w:color w:val="auto"/>
                <w:sz w:val="24"/>
                <w:szCs w:val="24"/>
              </w:rPr>
            </w:pPr>
            <w:r w:rsidRPr="0090237D">
              <w:rPr>
                <w:rFonts w:ascii="Times New Roman" w:hAnsi="Times New Roman"/>
                <w:color w:val="auto"/>
                <w:sz w:val="24"/>
                <w:szCs w:val="24"/>
              </w:rPr>
              <w:t>Intérêts payés mais réinvestis</w:t>
            </w:r>
          </w:p>
        </w:tc>
        <w:tc>
          <w:tcPr>
            <w:tcW w:w="1086" w:type="dxa"/>
          </w:tcPr>
          <w:p w14:paraId="39CD6E5D" w14:textId="77777777" w:rsidR="0058573B" w:rsidRPr="0090237D" w:rsidRDefault="0058573B" w:rsidP="00AB4AF8">
            <w:pPr>
              <w:jc w:val="right"/>
              <w:rPr>
                <w:rFonts w:ascii="Times New Roman" w:hAnsi="Times New Roman" w:cs="Times New Roman"/>
                <w:color w:val="auto"/>
                <w:sz w:val="24"/>
                <w:szCs w:val="24"/>
              </w:rPr>
            </w:pPr>
            <w:r w:rsidRPr="0090237D">
              <w:rPr>
                <w:rFonts w:ascii="Times New Roman" w:hAnsi="Times New Roman"/>
                <w:color w:val="auto"/>
                <w:sz w:val="24"/>
                <w:szCs w:val="24"/>
              </w:rPr>
              <w:t>391,85 $</w:t>
            </w:r>
          </w:p>
        </w:tc>
        <w:tc>
          <w:tcPr>
            <w:tcW w:w="1807" w:type="dxa"/>
          </w:tcPr>
          <w:p w14:paraId="190FB43D" w14:textId="77777777" w:rsidR="0058573B" w:rsidRPr="0090237D" w:rsidRDefault="0058573B" w:rsidP="008E3217">
            <w:pPr>
              <w:jc w:val="right"/>
              <w:rPr>
                <w:rFonts w:ascii="Times New Roman" w:hAnsi="Times New Roman" w:cs="Times New Roman"/>
                <w:color w:val="auto"/>
                <w:sz w:val="24"/>
                <w:szCs w:val="24"/>
              </w:rPr>
            </w:pPr>
          </w:p>
        </w:tc>
      </w:tr>
      <w:tr w:rsidR="0058573B" w:rsidRPr="0090237D" w14:paraId="03B2225B" w14:textId="77777777" w:rsidTr="0058573B">
        <w:tc>
          <w:tcPr>
            <w:tcW w:w="4770" w:type="dxa"/>
          </w:tcPr>
          <w:p w14:paraId="423C421E" w14:textId="77777777" w:rsidR="0058573B" w:rsidRPr="0090237D" w:rsidRDefault="0058573B" w:rsidP="00E719EC">
            <w:pPr>
              <w:rPr>
                <w:rFonts w:ascii="Times New Roman" w:hAnsi="Times New Roman" w:cs="Times New Roman"/>
                <w:color w:val="auto"/>
                <w:sz w:val="24"/>
                <w:szCs w:val="24"/>
              </w:rPr>
            </w:pPr>
          </w:p>
        </w:tc>
        <w:tc>
          <w:tcPr>
            <w:tcW w:w="1086" w:type="dxa"/>
          </w:tcPr>
          <w:p w14:paraId="1CC15AE8" w14:textId="77777777" w:rsidR="0058573B" w:rsidRPr="0090237D" w:rsidRDefault="0058573B" w:rsidP="00AB4AF8">
            <w:pPr>
              <w:jc w:val="right"/>
              <w:rPr>
                <w:rFonts w:ascii="Times New Roman" w:hAnsi="Times New Roman" w:cs="Times New Roman"/>
                <w:color w:val="auto"/>
                <w:sz w:val="24"/>
                <w:szCs w:val="24"/>
              </w:rPr>
            </w:pPr>
          </w:p>
        </w:tc>
        <w:tc>
          <w:tcPr>
            <w:tcW w:w="1807" w:type="dxa"/>
          </w:tcPr>
          <w:p w14:paraId="40C9403C" w14:textId="77777777" w:rsidR="0058573B" w:rsidRPr="0090237D" w:rsidRDefault="0058573B" w:rsidP="008E3217">
            <w:pPr>
              <w:jc w:val="right"/>
              <w:rPr>
                <w:rFonts w:ascii="Times New Roman" w:hAnsi="Times New Roman" w:cs="Times New Roman"/>
                <w:color w:val="auto"/>
                <w:sz w:val="24"/>
                <w:szCs w:val="24"/>
              </w:rPr>
            </w:pPr>
          </w:p>
        </w:tc>
      </w:tr>
      <w:tr w:rsidR="0058573B" w:rsidRPr="0090237D" w14:paraId="0DF47D8B" w14:textId="77777777" w:rsidTr="0058573B">
        <w:tc>
          <w:tcPr>
            <w:tcW w:w="4770" w:type="dxa"/>
          </w:tcPr>
          <w:p w14:paraId="63DCA764" w14:textId="77777777" w:rsidR="0058573B" w:rsidRPr="0090237D" w:rsidRDefault="0058573B" w:rsidP="00E719EC">
            <w:pPr>
              <w:rPr>
                <w:rFonts w:ascii="Times New Roman" w:hAnsi="Times New Roman" w:cs="Times New Roman"/>
                <w:color w:val="auto"/>
                <w:sz w:val="24"/>
                <w:szCs w:val="24"/>
              </w:rPr>
            </w:pPr>
          </w:p>
        </w:tc>
        <w:tc>
          <w:tcPr>
            <w:tcW w:w="1086" w:type="dxa"/>
          </w:tcPr>
          <w:p w14:paraId="230E9939" w14:textId="77777777" w:rsidR="0058573B" w:rsidRPr="0090237D" w:rsidRDefault="0058573B" w:rsidP="00AB4AF8">
            <w:pPr>
              <w:jc w:val="right"/>
              <w:rPr>
                <w:rFonts w:ascii="Times New Roman" w:hAnsi="Times New Roman" w:cs="Times New Roman"/>
                <w:color w:val="auto"/>
                <w:sz w:val="24"/>
                <w:szCs w:val="24"/>
              </w:rPr>
            </w:pPr>
          </w:p>
        </w:tc>
        <w:tc>
          <w:tcPr>
            <w:tcW w:w="1807" w:type="dxa"/>
          </w:tcPr>
          <w:p w14:paraId="0218D6C9" w14:textId="77777777" w:rsidR="0058573B" w:rsidRPr="0090237D" w:rsidRDefault="0058573B" w:rsidP="008E3217">
            <w:pPr>
              <w:jc w:val="right"/>
              <w:rPr>
                <w:rFonts w:ascii="Times New Roman" w:hAnsi="Times New Roman" w:cs="Times New Roman"/>
                <w:color w:val="auto"/>
                <w:sz w:val="24"/>
                <w:szCs w:val="24"/>
              </w:rPr>
            </w:pPr>
          </w:p>
        </w:tc>
      </w:tr>
      <w:tr w:rsidR="0058573B" w:rsidRPr="0090237D" w14:paraId="54006354" w14:textId="77777777" w:rsidTr="0058573B">
        <w:tc>
          <w:tcPr>
            <w:tcW w:w="4770" w:type="dxa"/>
          </w:tcPr>
          <w:p w14:paraId="7780EA87" w14:textId="77777777" w:rsidR="0058573B" w:rsidRPr="0090237D" w:rsidRDefault="0058573B" w:rsidP="00E719EC">
            <w:pPr>
              <w:rPr>
                <w:rFonts w:ascii="Times New Roman" w:hAnsi="Times New Roman" w:cs="Times New Roman"/>
                <w:color w:val="auto"/>
                <w:sz w:val="24"/>
                <w:szCs w:val="24"/>
              </w:rPr>
            </w:pPr>
          </w:p>
        </w:tc>
        <w:tc>
          <w:tcPr>
            <w:tcW w:w="1086" w:type="dxa"/>
          </w:tcPr>
          <w:p w14:paraId="27B23441" w14:textId="77777777" w:rsidR="0058573B" w:rsidRPr="0090237D" w:rsidRDefault="0058573B" w:rsidP="00AB4AF8">
            <w:pPr>
              <w:jc w:val="right"/>
              <w:rPr>
                <w:rFonts w:ascii="Times New Roman" w:hAnsi="Times New Roman" w:cs="Times New Roman"/>
                <w:color w:val="auto"/>
                <w:sz w:val="24"/>
                <w:szCs w:val="24"/>
              </w:rPr>
            </w:pPr>
          </w:p>
        </w:tc>
        <w:tc>
          <w:tcPr>
            <w:tcW w:w="1807" w:type="dxa"/>
          </w:tcPr>
          <w:p w14:paraId="7A8B7B26" w14:textId="77777777" w:rsidR="0058573B" w:rsidRPr="0090237D" w:rsidRDefault="0058573B" w:rsidP="008E3217">
            <w:pPr>
              <w:jc w:val="right"/>
              <w:rPr>
                <w:rFonts w:ascii="Times New Roman" w:hAnsi="Times New Roman" w:cs="Times New Roman"/>
                <w:color w:val="auto"/>
                <w:sz w:val="24"/>
                <w:szCs w:val="24"/>
              </w:rPr>
            </w:pPr>
          </w:p>
        </w:tc>
      </w:tr>
      <w:tr w:rsidR="0058573B" w:rsidRPr="0090237D" w14:paraId="00FE042E" w14:textId="77777777" w:rsidTr="0058573B">
        <w:tc>
          <w:tcPr>
            <w:tcW w:w="4770" w:type="dxa"/>
          </w:tcPr>
          <w:p w14:paraId="2DEF778A" w14:textId="77777777" w:rsidR="0058573B" w:rsidRPr="0090237D" w:rsidRDefault="0058573B" w:rsidP="00E719EC">
            <w:pPr>
              <w:rPr>
                <w:rFonts w:ascii="Times New Roman" w:hAnsi="Times New Roman" w:cs="Times New Roman"/>
                <w:color w:val="auto"/>
                <w:sz w:val="24"/>
                <w:szCs w:val="24"/>
              </w:rPr>
            </w:pPr>
          </w:p>
        </w:tc>
        <w:tc>
          <w:tcPr>
            <w:tcW w:w="1086" w:type="dxa"/>
          </w:tcPr>
          <w:p w14:paraId="56C9C3CC" w14:textId="77777777" w:rsidR="0058573B" w:rsidRPr="0090237D" w:rsidRDefault="0058573B" w:rsidP="00AB4AF8">
            <w:pPr>
              <w:jc w:val="right"/>
              <w:rPr>
                <w:rFonts w:ascii="Times New Roman" w:hAnsi="Times New Roman" w:cs="Times New Roman"/>
                <w:color w:val="auto"/>
                <w:sz w:val="24"/>
                <w:szCs w:val="24"/>
              </w:rPr>
            </w:pPr>
          </w:p>
        </w:tc>
        <w:tc>
          <w:tcPr>
            <w:tcW w:w="1807" w:type="dxa"/>
          </w:tcPr>
          <w:p w14:paraId="15693AB6" w14:textId="77777777" w:rsidR="0058573B" w:rsidRPr="0090237D" w:rsidRDefault="0058573B" w:rsidP="008E3217">
            <w:pPr>
              <w:jc w:val="right"/>
              <w:rPr>
                <w:rFonts w:ascii="Times New Roman" w:hAnsi="Times New Roman" w:cs="Times New Roman"/>
                <w:color w:val="auto"/>
                <w:sz w:val="24"/>
                <w:szCs w:val="24"/>
              </w:rPr>
            </w:pPr>
          </w:p>
        </w:tc>
      </w:tr>
      <w:tr w:rsidR="0058573B" w:rsidRPr="0090237D" w14:paraId="16EBE06A" w14:textId="77777777" w:rsidTr="0058573B">
        <w:tc>
          <w:tcPr>
            <w:tcW w:w="4770" w:type="dxa"/>
          </w:tcPr>
          <w:p w14:paraId="2BF304B2" w14:textId="6D312063" w:rsidR="00977343" w:rsidRPr="0090237D" w:rsidRDefault="00CB229F" w:rsidP="00E719EC">
            <w:pPr>
              <w:rPr>
                <w:color w:val="auto"/>
              </w:rPr>
            </w:pPr>
            <w:r w:rsidRPr="0090237D">
              <w:rPr>
                <w:rFonts w:ascii="Times New Roman" w:hAnsi="Times New Roman"/>
                <w:color w:val="auto"/>
                <w:sz w:val="24"/>
                <w:szCs w:val="24"/>
              </w:rPr>
              <w:t>Solde de clôture</w:t>
            </w:r>
          </w:p>
        </w:tc>
        <w:tc>
          <w:tcPr>
            <w:tcW w:w="1086" w:type="dxa"/>
          </w:tcPr>
          <w:p w14:paraId="2507EC0C" w14:textId="77777777" w:rsidR="0058573B" w:rsidRPr="0090237D" w:rsidRDefault="0058573B" w:rsidP="00AB4AF8">
            <w:pPr>
              <w:jc w:val="right"/>
              <w:rPr>
                <w:rFonts w:ascii="Times New Roman" w:hAnsi="Times New Roman" w:cs="Times New Roman"/>
                <w:color w:val="auto"/>
                <w:sz w:val="24"/>
                <w:szCs w:val="24"/>
              </w:rPr>
            </w:pPr>
          </w:p>
        </w:tc>
        <w:tc>
          <w:tcPr>
            <w:tcW w:w="1807" w:type="dxa"/>
          </w:tcPr>
          <w:p w14:paraId="3BF73CFF" w14:textId="77777777" w:rsidR="0058573B" w:rsidRPr="0090237D" w:rsidRDefault="0058573B" w:rsidP="008E3217">
            <w:pPr>
              <w:jc w:val="right"/>
              <w:rPr>
                <w:rFonts w:ascii="Times New Roman" w:hAnsi="Times New Roman" w:cs="Times New Roman"/>
                <w:color w:val="auto"/>
                <w:sz w:val="24"/>
                <w:szCs w:val="24"/>
              </w:rPr>
            </w:pPr>
            <w:r w:rsidRPr="0090237D">
              <w:rPr>
                <w:rFonts w:ascii="Times New Roman" w:hAnsi="Times New Roman"/>
                <w:b/>
                <w:color w:val="auto"/>
                <w:sz w:val="24"/>
                <w:szCs w:val="24"/>
              </w:rPr>
              <w:t>36 014,31 $</w:t>
            </w:r>
          </w:p>
        </w:tc>
      </w:tr>
    </w:tbl>
    <w:p w14:paraId="720CEF2A" w14:textId="77777777" w:rsidR="00E719EC" w:rsidRPr="0090237D" w:rsidRDefault="00E719EC" w:rsidP="00E719EC">
      <w:pPr>
        <w:rPr>
          <w:rFonts w:ascii="Times New Roman" w:hAnsi="Times New Roman" w:cs="Times New Roman"/>
          <w:b/>
          <w:color w:val="auto"/>
          <w:sz w:val="24"/>
          <w:szCs w:val="24"/>
        </w:rPr>
      </w:pPr>
    </w:p>
    <w:p w14:paraId="754001FC" w14:textId="77777777" w:rsidR="00E719EC" w:rsidRPr="0090237D" w:rsidRDefault="00E719EC" w:rsidP="00E719EC">
      <w:pPr>
        <w:rPr>
          <w:rFonts w:ascii="Times New Roman" w:hAnsi="Times New Roman" w:cs="Times New Roman"/>
          <w:b/>
          <w:color w:val="auto"/>
          <w:sz w:val="24"/>
          <w:szCs w:val="24"/>
        </w:rPr>
      </w:pPr>
      <w:r w:rsidRPr="0090237D">
        <w:rPr>
          <w:color w:val="auto"/>
        </w:rPr>
        <w:br w:type="page"/>
      </w:r>
    </w:p>
    <w:p w14:paraId="339917C2" w14:textId="0705AFE8" w:rsidR="00977343" w:rsidRPr="0090237D" w:rsidRDefault="00CB229F" w:rsidP="00E719EC">
      <w:pPr>
        <w:jc w:val="center"/>
        <w:rPr>
          <w:color w:val="auto"/>
        </w:rPr>
      </w:pPr>
      <w:r w:rsidRPr="0090237D">
        <w:rPr>
          <w:rFonts w:ascii="Times New Roman" w:hAnsi="Times New Roman"/>
          <w:b/>
          <w:color w:val="auto"/>
          <w:sz w:val="24"/>
          <w:szCs w:val="24"/>
        </w:rPr>
        <w:lastRenderedPageBreak/>
        <w:t>Sommaire des comptes</w:t>
      </w:r>
    </w:p>
    <w:p w14:paraId="13314705" w14:textId="77777777" w:rsidR="00E719EC" w:rsidRPr="0090237D" w:rsidRDefault="00E719EC" w:rsidP="00E719EC">
      <w:pPr>
        <w:jc w:val="center"/>
        <w:rPr>
          <w:rFonts w:ascii="Times New Roman" w:hAnsi="Times New Roman" w:cs="Times New Roman"/>
          <w:b/>
          <w:color w:val="auto"/>
          <w:sz w:val="24"/>
          <w:szCs w:val="24"/>
        </w:rPr>
      </w:pPr>
    </w:p>
    <w:p w14:paraId="647E409D" w14:textId="7471478B" w:rsidR="00977343" w:rsidRPr="0090237D" w:rsidRDefault="00CB229F" w:rsidP="00E719EC">
      <w:pPr>
        <w:jc w:val="center"/>
        <w:rPr>
          <w:color w:val="auto"/>
          <w:lang w:val="en-CA"/>
        </w:rPr>
      </w:pPr>
      <w:r w:rsidRPr="0090237D">
        <w:rPr>
          <w:rFonts w:ascii="Times New Roman" w:hAnsi="Times New Roman"/>
          <w:b/>
          <w:color w:val="auto"/>
          <w:sz w:val="24"/>
          <w:szCs w:val="24"/>
          <w:lang w:val="en-CA"/>
        </w:rPr>
        <w:t>Au 31 mars 2019</w:t>
      </w:r>
    </w:p>
    <w:p w14:paraId="5A81B0E8" w14:textId="77777777" w:rsidR="00E719EC" w:rsidRPr="0090237D" w:rsidRDefault="00E719EC" w:rsidP="00E719EC">
      <w:pPr>
        <w:jc w:val="center"/>
        <w:rPr>
          <w:rFonts w:ascii="Times New Roman" w:hAnsi="Times New Roman" w:cs="Times New Roman"/>
          <w:b/>
          <w:color w:val="auto"/>
          <w:sz w:val="24"/>
          <w:szCs w:val="24"/>
          <w:lang w:val="en-CA"/>
        </w:rPr>
      </w:pPr>
    </w:p>
    <w:p w14:paraId="3C6CA75F" w14:textId="2257C7EF" w:rsidR="00977343" w:rsidRPr="0090237D" w:rsidRDefault="00CB229F" w:rsidP="00E719EC">
      <w:pPr>
        <w:rPr>
          <w:color w:val="auto"/>
        </w:rPr>
      </w:pPr>
      <w:r w:rsidRPr="0090237D">
        <w:rPr>
          <w:rFonts w:ascii="Times New Roman" w:hAnsi="Times New Roman"/>
          <w:b/>
          <w:color w:val="auto"/>
          <w:sz w:val="24"/>
          <w:szCs w:val="24"/>
        </w:rPr>
        <w:t>Caisse populaire de Caraquet limitée</w:t>
      </w:r>
    </w:p>
    <w:p w14:paraId="2F5DC15A" w14:textId="77777777" w:rsidR="00E719EC" w:rsidRPr="0090237D" w:rsidRDefault="00E719EC" w:rsidP="00E719EC">
      <w:pPr>
        <w:rPr>
          <w:rFonts w:ascii="Times New Roman" w:hAnsi="Times New Roman" w:cs="Times New Roman"/>
          <w:b/>
          <w:color w:val="auto"/>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1440"/>
      </w:tblGrid>
      <w:tr w:rsidR="004327E8" w:rsidRPr="0090237D" w14:paraId="173E525C" w14:textId="77777777" w:rsidTr="004327E8">
        <w:tc>
          <w:tcPr>
            <w:tcW w:w="6210" w:type="dxa"/>
          </w:tcPr>
          <w:p w14:paraId="3ACF6B5E" w14:textId="28EDDFFF" w:rsidR="00977343" w:rsidRPr="0090237D" w:rsidRDefault="00CB229F" w:rsidP="007E09A0">
            <w:pPr>
              <w:spacing w:line="360" w:lineRule="auto"/>
              <w:rPr>
                <w:color w:val="auto"/>
              </w:rPr>
            </w:pPr>
            <w:r w:rsidRPr="0090237D">
              <w:rPr>
                <w:rFonts w:ascii="Times New Roman" w:hAnsi="Times New Roman"/>
                <w:color w:val="auto"/>
                <w:sz w:val="24"/>
                <w:szCs w:val="24"/>
              </w:rPr>
              <w:t>Dépôts à terme</w:t>
            </w:r>
          </w:p>
        </w:tc>
        <w:tc>
          <w:tcPr>
            <w:tcW w:w="1440" w:type="dxa"/>
          </w:tcPr>
          <w:p w14:paraId="4256CE8A" w14:textId="77777777" w:rsidR="004327E8" w:rsidRPr="0090237D" w:rsidRDefault="0058340D" w:rsidP="007E09A0">
            <w:pPr>
              <w:jc w:val="right"/>
              <w:rPr>
                <w:rFonts w:ascii="Times New Roman" w:hAnsi="Times New Roman" w:cs="Times New Roman"/>
                <w:b/>
                <w:color w:val="auto"/>
                <w:sz w:val="24"/>
                <w:szCs w:val="24"/>
              </w:rPr>
            </w:pPr>
            <w:r w:rsidRPr="0090237D">
              <w:rPr>
                <w:rFonts w:ascii="Times New Roman" w:hAnsi="Times New Roman"/>
                <w:color w:val="auto"/>
                <w:sz w:val="24"/>
                <w:szCs w:val="24"/>
              </w:rPr>
              <w:t>46 120,98 $</w:t>
            </w:r>
          </w:p>
        </w:tc>
      </w:tr>
      <w:tr w:rsidR="004327E8" w:rsidRPr="0090237D" w14:paraId="24D60A09" w14:textId="77777777" w:rsidTr="004327E8">
        <w:tc>
          <w:tcPr>
            <w:tcW w:w="6210" w:type="dxa"/>
          </w:tcPr>
          <w:p w14:paraId="4CEA5F2D" w14:textId="46C27918" w:rsidR="00977343" w:rsidRPr="0090237D" w:rsidRDefault="00CB229F" w:rsidP="007E09A0">
            <w:pPr>
              <w:spacing w:line="360" w:lineRule="auto"/>
              <w:rPr>
                <w:color w:val="auto"/>
              </w:rPr>
            </w:pPr>
            <w:r w:rsidRPr="0090237D">
              <w:rPr>
                <w:color w:val="auto"/>
              </w:rPr>
              <w:t xml:space="preserve">Compte d'épargne avec opérations </w:t>
            </w:r>
          </w:p>
        </w:tc>
        <w:tc>
          <w:tcPr>
            <w:tcW w:w="1440" w:type="dxa"/>
          </w:tcPr>
          <w:p w14:paraId="56520D53" w14:textId="77777777" w:rsidR="004327E8" w:rsidRPr="0090237D" w:rsidRDefault="007E09A0" w:rsidP="007E09A0">
            <w:pPr>
              <w:jc w:val="right"/>
              <w:rPr>
                <w:rFonts w:ascii="Times New Roman" w:hAnsi="Times New Roman" w:cs="Times New Roman"/>
                <w:b/>
                <w:color w:val="auto"/>
                <w:sz w:val="24"/>
                <w:szCs w:val="24"/>
              </w:rPr>
            </w:pPr>
            <w:r w:rsidRPr="0090237D">
              <w:rPr>
                <w:rFonts w:ascii="Times New Roman" w:hAnsi="Times New Roman"/>
                <w:color w:val="auto"/>
                <w:sz w:val="24"/>
                <w:szCs w:val="24"/>
              </w:rPr>
              <w:t>-12,45</w:t>
            </w:r>
          </w:p>
        </w:tc>
      </w:tr>
      <w:tr w:rsidR="004327E8" w:rsidRPr="0090237D" w14:paraId="56112D9F" w14:textId="77777777" w:rsidTr="004327E8">
        <w:tc>
          <w:tcPr>
            <w:tcW w:w="6210" w:type="dxa"/>
          </w:tcPr>
          <w:p w14:paraId="424BCFCA" w14:textId="3120DD07" w:rsidR="00977343" w:rsidRPr="0090237D" w:rsidRDefault="00CB229F" w:rsidP="007E09A0">
            <w:pPr>
              <w:spacing w:line="360" w:lineRule="auto"/>
              <w:rPr>
                <w:color w:val="auto"/>
              </w:rPr>
            </w:pPr>
            <w:r w:rsidRPr="0090237D">
              <w:rPr>
                <w:rFonts w:ascii="Times New Roman" w:hAnsi="Times New Roman"/>
                <w:color w:val="auto"/>
                <w:sz w:val="24"/>
                <w:szCs w:val="24"/>
              </w:rPr>
              <w:t>Compte ES</w:t>
            </w:r>
          </w:p>
        </w:tc>
        <w:tc>
          <w:tcPr>
            <w:tcW w:w="1440" w:type="dxa"/>
          </w:tcPr>
          <w:p w14:paraId="716F4E06" w14:textId="77777777" w:rsidR="004327E8" w:rsidRPr="0090237D" w:rsidRDefault="007E09A0" w:rsidP="007E09A0">
            <w:pPr>
              <w:jc w:val="right"/>
              <w:rPr>
                <w:rFonts w:ascii="Times New Roman" w:hAnsi="Times New Roman" w:cs="Times New Roman"/>
                <w:b/>
                <w:color w:val="auto"/>
                <w:sz w:val="24"/>
                <w:szCs w:val="24"/>
              </w:rPr>
            </w:pPr>
            <w:r w:rsidRPr="0090237D">
              <w:rPr>
                <w:rFonts w:ascii="Times New Roman" w:hAnsi="Times New Roman"/>
                <w:color w:val="auto"/>
                <w:sz w:val="24"/>
                <w:szCs w:val="24"/>
              </w:rPr>
              <w:t>19 597,10</w:t>
            </w:r>
          </w:p>
        </w:tc>
      </w:tr>
      <w:tr w:rsidR="004327E8" w:rsidRPr="0090237D" w14:paraId="2B491581" w14:textId="77777777" w:rsidTr="004327E8">
        <w:tc>
          <w:tcPr>
            <w:tcW w:w="6210" w:type="dxa"/>
          </w:tcPr>
          <w:p w14:paraId="6C1006E6" w14:textId="18CD98D4" w:rsidR="00977343" w:rsidRPr="0090237D" w:rsidRDefault="00CB229F" w:rsidP="007E09A0">
            <w:pPr>
              <w:spacing w:line="360" w:lineRule="auto"/>
              <w:rPr>
                <w:color w:val="auto"/>
              </w:rPr>
            </w:pPr>
            <w:r w:rsidRPr="0090237D">
              <w:rPr>
                <w:rFonts w:ascii="Times New Roman" w:hAnsi="Times New Roman"/>
                <w:color w:val="auto"/>
                <w:sz w:val="24"/>
                <w:szCs w:val="24"/>
              </w:rPr>
              <w:t>Compte CS</w:t>
            </w:r>
          </w:p>
        </w:tc>
        <w:tc>
          <w:tcPr>
            <w:tcW w:w="1440" w:type="dxa"/>
          </w:tcPr>
          <w:p w14:paraId="3DE5931A" w14:textId="77777777" w:rsidR="004327E8" w:rsidRPr="0090237D" w:rsidRDefault="007E09A0" w:rsidP="007E09A0">
            <w:pPr>
              <w:jc w:val="right"/>
              <w:rPr>
                <w:rFonts w:ascii="Times New Roman" w:hAnsi="Times New Roman" w:cs="Times New Roman"/>
                <w:b/>
                <w:color w:val="auto"/>
                <w:sz w:val="24"/>
                <w:szCs w:val="24"/>
              </w:rPr>
            </w:pPr>
            <w:r w:rsidRPr="0090237D">
              <w:rPr>
                <w:rFonts w:ascii="Times New Roman" w:hAnsi="Times New Roman"/>
                <w:color w:val="auto"/>
                <w:sz w:val="24"/>
                <w:szCs w:val="24"/>
              </w:rPr>
              <w:t>100,00</w:t>
            </w:r>
          </w:p>
        </w:tc>
      </w:tr>
    </w:tbl>
    <w:p w14:paraId="2DCAAD29" w14:textId="77777777" w:rsidR="004327E8" w:rsidRPr="0090237D" w:rsidRDefault="004327E8" w:rsidP="00E719EC">
      <w:pPr>
        <w:rPr>
          <w:rFonts w:ascii="Times New Roman" w:hAnsi="Times New Roman" w:cs="Times New Roman"/>
          <w:b/>
          <w:color w:val="auto"/>
          <w:sz w:val="24"/>
          <w:szCs w:val="24"/>
        </w:rPr>
      </w:pPr>
    </w:p>
    <w:p w14:paraId="5361D9AE" w14:textId="77777777" w:rsidR="00E719EC" w:rsidRPr="0090237D" w:rsidRDefault="00E719EC" w:rsidP="00E719EC">
      <w:pPr>
        <w:rPr>
          <w:rFonts w:ascii="Times New Roman" w:hAnsi="Times New Roman" w:cs="Times New Roman"/>
          <w:color w:val="auto"/>
          <w:sz w:val="24"/>
          <w:szCs w:val="24"/>
        </w:rPr>
      </w:pPr>
    </w:p>
    <w:p w14:paraId="6BE8D59B" w14:textId="7F20B791" w:rsidR="00E719EC" w:rsidRPr="0090237D" w:rsidRDefault="00CB229F" w:rsidP="00E719EC">
      <w:pPr>
        <w:jc w:val="center"/>
        <w:rPr>
          <w:rFonts w:ascii="Times New Roman" w:hAnsi="Times New Roman" w:cs="Times New Roman"/>
          <w:b/>
          <w:color w:val="auto"/>
          <w:sz w:val="24"/>
          <w:szCs w:val="24"/>
          <w:lang w:val="en-CA"/>
        </w:rPr>
      </w:pPr>
      <w:r w:rsidRPr="0090237D">
        <w:rPr>
          <w:rFonts w:ascii="Times New Roman" w:hAnsi="Times New Roman"/>
          <w:b/>
          <w:color w:val="auto"/>
          <w:sz w:val="24"/>
          <w:szCs w:val="24"/>
          <w:lang w:val="en-CA"/>
        </w:rPr>
        <w:t>Au 31 mars 2019</w:t>
      </w:r>
    </w:p>
    <w:p w14:paraId="5E577CA4" w14:textId="77777777" w:rsidR="00E719EC" w:rsidRPr="0090237D" w:rsidRDefault="00E719EC" w:rsidP="00E719EC">
      <w:pPr>
        <w:rPr>
          <w:rFonts w:ascii="Times New Roman" w:hAnsi="Times New Roman" w:cs="Times New Roman"/>
          <w:color w:val="auto"/>
          <w:sz w:val="24"/>
          <w:szCs w:val="24"/>
          <w:lang w:val="en-CA"/>
        </w:rPr>
      </w:pPr>
    </w:p>
    <w:p w14:paraId="5D55779E" w14:textId="701B707A" w:rsidR="00977343" w:rsidRPr="0090237D" w:rsidRDefault="00CB229F" w:rsidP="00E719EC">
      <w:pPr>
        <w:rPr>
          <w:color w:val="auto"/>
        </w:rPr>
      </w:pPr>
      <w:r w:rsidRPr="0090237D">
        <w:rPr>
          <w:rFonts w:ascii="Times New Roman" w:hAnsi="Times New Roman"/>
          <w:b/>
          <w:color w:val="auto"/>
          <w:sz w:val="24"/>
          <w:szCs w:val="24"/>
        </w:rPr>
        <w:t>Banque de Montréal</w:t>
      </w:r>
    </w:p>
    <w:p w14:paraId="32DAD2A6" w14:textId="77777777" w:rsidR="00E719EC" w:rsidRPr="0090237D" w:rsidRDefault="00E719EC" w:rsidP="00E719EC">
      <w:pPr>
        <w:rPr>
          <w:rFonts w:ascii="Times New Roman" w:hAnsi="Times New Roman" w:cs="Times New Roman"/>
          <w:b/>
          <w:color w:val="auto"/>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1440"/>
      </w:tblGrid>
      <w:tr w:rsidR="002B3495" w:rsidRPr="0090237D" w14:paraId="02C24B34" w14:textId="77777777" w:rsidTr="00FD4353">
        <w:tc>
          <w:tcPr>
            <w:tcW w:w="6210" w:type="dxa"/>
          </w:tcPr>
          <w:p w14:paraId="0FCFF383" w14:textId="0C79AB65" w:rsidR="00977343" w:rsidRPr="0090237D" w:rsidRDefault="00CB229F" w:rsidP="00FD4353">
            <w:pPr>
              <w:spacing w:line="360" w:lineRule="auto"/>
              <w:rPr>
                <w:color w:val="auto"/>
              </w:rPr>
            </w:pPr>
            <w:r w:rsidRPr="0090237D">
              <w:rPr>
                <w:rFonts w:ascii="Times New Roman" w:hAnsi="Times New Roman"/>
                <w:color w:val="auto"/>
                <w:sz w:val="24"/>
                <w:szCs w:val="24"/>
              </w:rPr>
              <w:t>Compte de chèque</w:t>
            </w:r>
          </w:p>
        </w:tc>
        <w:tc>
          <w:tcPr>
            <w:tcW w:w="1440" w:type="dxa"/>
          </w:tcPr>
          <w:p w14:paraId="37BDADD3" w14:textId="77777777" w:rsidR="002B3495" w:rsidRPr="0090237D" w:rsidRDefault="002B3495" w:rsidP="00FD4353">
            <w:pPr>
              <w:jc w:val="right"/>
              <w:rPr>
                <w:rFonts w:ascii="Times New Roman" w:hAnsi="Times New Roman" w:cs="Times New Roman"/>
                <w:b/>
                <w:color w:val="auto"/>
                <w:sz w:val="24"/>
                <w:szCs w:val="24"/>
              </w:rPr>
            </w:pPr>
            <w:r w:rsidRPr="0090237D">
              <w:rPr>
                <w:rFonts w:ascii="Times New Roman" w:hAnsi="Times New Roman"/>
                <w:color w:val="auto"/>
                <w:sz w:val="24"/>
                <w:szCs w:val="24"/>
              </w:rPr>
              <w:t>59 390,22 $</w:t>
            </w:r>
          </w:p>
        </w:tc>
      </w:tr>
    </w:tbl>
    <w:p w14:paraId="72CBAB4E" w14:textId="77777777" w:rsidR="00E719EC" w:rsidRPr="0090237D" w:rsidRDefault="00E719EC" w:rsidP="00E719EC">
      <w:pPr>
        <w:rPr>
          <w:rFonts w:ascii="Times New Roman" w:hAnsi="Times New Roman" w:cs="Times New Roman"/>
          <w:color w:val="auto"/>
          <w:sz w:val="24"/>
          <w:szCs w:val="24"/>
        </w:rPr>
      </w:pPr>
    </w:p>
    <w:p w14:paraId="0A77CFFE" w14:textId="77777777" w:rsidR="00E719EC" w:rsidRPr="0090237D" w:rsidRDefault="00E719EC" w:rsidP="00E719EC">
      <w:pPr>
        <w:jc w:val="center"/>
        <w:rPr>
          <w:rFonts w:ascii="Times New Roman" w:hAnsi="Times New Roman" w:cs="Times New Roman"/>
          <w:b/>
          <w:color w:val="auto"/>
          <w:sz w:val="24"/>
          <w:szCs w:val="24"/>
        </w:rPr>
      </w:pPr>
    </w:p>
    <w:p w14:paraId="31730908" w14:textId="0A822324" w:rsidR="00E719EC" w:rsidRPr="0090237D" w:rsidRDefault="00CB229F" w:rsidP="00E719EC">
      <w:pPr>
        <w:jc w:val="center"/>
        <w:rPr>
          <w:rFonts w:ascii="Times New Roman" w:hAnsi="Times New Roman" w:cs="Times New Roman"/>
          <w:b/>
          <w:color w:val="auto"/>
          <w:sz w:val="24"/>
          <w:szCs w:val="24"/>
        </w:rPr>
      </w:pPr>
      <w:r w:rsidRPr="0090237D">
        <w:rPr>
          <w:rFonts w:ascii="Times New Roman" w:hAnsi="Times New Roman"/>
          <w:b/>
          <w:color w:val="auto"/>
          <w:sz w:val="24"/>
          <w:szCs w:val="24"/>
        </w:rPr>
        <w:t>En date du 2 février 2019</w:t>
      </w:r>
    </w:p>
    <w:p w14:paraId="252E55DE" w14:textId="77777777" w:rsidR="00E719EC" w:rsidRPr="0090237D" w:rsidRDefault="00E719EC" w:rsidP="00E719EC">
      <w:pPr>
        <w:rPr>
          <w:rFonts w:ascii="Times New Roman" w:hAnsi="Times New Roman" w:cs="Times New Roman"/>
          <w:color w:val="auto"/>
          <w:sz w:val="24"/>
          <w:szCs w:val="24"/>
        </w:rPr>
      </w:pPr>
    </w:p>
    <w:p w14:paraId="7DA0F6F1" w14:textId="7629D5B4" w:rsidR="00977343" w:rsidRPr="0090237D" w:rsidRDefault="00CB229F" w:rsidP="00E719EC">
      <w:pPr>
        <w:rPr>
          <w:color w:val="auto"/>
        </w:rPr>
      </w:pPr>
      <w:r w:rsidRPr="0090237D">
        <w:rPr>
          <w:rFonts w:ascii="Times New Roman" w:hAnsi="Times New Roman"/>
          <w:b/>
          <w:color w:val="auto"/>
          <w:sz w:val="24"/>
          <w:szCs w:val="24"/>
        </w:rPr>
        <w:t>Banque de Montréal</w:t>
      </w:r>
    </w:p>
    <w:p w14:paraId="232E7ED4" w14:textId="77777777" w:rsidR="00E719EC" w:rsidRPr="0090237D" w:rsidRDefault="00E719EC" w:rsidP="00E719EC">
      <w:pPr>
        <w:rPr>
          <w:rFonts w:ascii="Times New Roman" w:hAnsi="Times New Roman" w:cs="Times New Roman"/>
          <w:color w:val="auto"/>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1440"/>
      </w:tblGrid>
      <w:tr w:rsidR="000A3294" w:rsidRPr="0090237D" w14:paraId="6A1046AE" w14:textId="77777777" w:rsidTr="00FD4353">
        <w:tc>
          <w:tcPr>
            <w:tcW w:w="6210" w:type="dxa"/>
          </w:tcPr>
          <w:p w14:paraId="49C4477C" w14:textId="42023AC2" w:rsidR="000A3294" w:rsidRPr="0090237D" w:rsidRDefault="00CB229F" w:rsidP="00FD4353">
            <w:pPr>
              <w:spacing w:line="360" w:lineRule="auto"/>
              <w:rPr>
                <w:rFonts w:ascii="Times New Roman" w:hAnsi="Times New Roman" w:cs="Times New Roman"/>
                <w:b/>
                <w:color w:val="auto"/>
                <w:sz w:val="24"/>
                <w:szCs w:val="24"/>
              </w:rPr>
            </w:pPr>
            <w:r w:rsidRPr="0090237D">
              <w:rPr>
                <w:rFonts w:ascii="Times New Roman" w:hAnsi="Times New Roman"/>
                <w:color w:val="auto"/>
                <w:sz w:val="24"/>
                <w:szCs w:val="24"/>
              </w:rPr>
              <w:t>Placement à terme</w:t>
            </w:r>
          </w:p>
        </w:tc>
        <w:tc>
          <w:tcPr>
            <w:tcW w:w="1440" w:type="dxa"/>
          </w:tcPr>
          <w:p w14:paraId="09F729EE" w14:textId="77777777" w:rsidR="000A3294" w:rsidRPr="0090237D" w:rsidRDefault="000A3294" w:rsidP="00FD4353">
            <w:pPr>
              <w:jc w:val="right"/>
              <w:rPr>
                <w:rFonts w:ascii="Times New Roman" w:hAnsi="Times New Roman" w:cs="Times New Roman"/>
                <w:b/>
                <w:color w:val="auto"/>
                <w:sz w:val="24"/>
                <w:szCs w:val="24"/>
              </w:rPr>
            </w:pPr>
            <w:r w:rsidRPr="0090237D">
              <w:rPr>
                <w:rFonts w:ascii="Times New Roman" w:hAnsi="Times New Roman"/>
                <w:color w:val="auto"/>
                <w:sz w:val="24"/>
                <w:szCs w:val="24"/>
              </w:rPr>
              <w:t>6 804,40 $</w:t>
            </w:r>
          </w:p>
        </w:tc>
      </w:tr>
    </w:tbl>
    <w:p w14:paraId="0D747C65" w14:textId="77777777" w:rsidR="00016568" w:rsidRPr="0090237D" w:rsidRDefault="00016568">
      <w:pPr>
        <w:rPr>
          <w:rFonts w:asciiTheme="majorHAnsi" w:eastAsiaTheme="majorEastAsia" w:hAnsiTheme="majorHAnsi" w:cstheme="majorBidi"/>
          <w:color w:val="auto"/>
          <w:sz w:val="30"/>
          <w:szCs w:val="30"/>
        </w:rPr>
      </w:pPr>
      <w:bookmarkStart w:id="9" w:name="_Toc6219744"/>
      <w:r w:rsidRPr="0090237D">
        <w:rPr>
          <w:color w:val="auto"/>
        </w:rPr>
        <w:br w:type="page"/>
      </w:r>
    </w:p>
    <w:p w14:paraId="48D4F9D8" w14:textId="0D2788EB" w:rsidR="009F4BED" w:rsidRPr="00957FE8" w:rsidRDefault="00CB229F" w:rsidP="00DF71BE">
      <w:pPr>
        <w:pStyle w:val="Titre1"/>
        <w:jc w:val="both"/>
        <w:rPr>
          <w:color w:val="3F251D"/>
        </w:rPr>
      </w:pPr>
      <w:bookmarkStart w:id="10" w:name="_Toc7683332"/>
      <w:bookmarkEnd w:id="9"/>
      <w:r w:rsidRPr="00957FE8">
        <w:rPr>
          <w:color w:val="3F251D"/>
        </w:rPr>
        <w:lastRenderedPageBreak/>
        <w:t>Principales conclusions de l’évaluation des besoins de 2015</w:t>
      </w:r>
      <w:bookmarkEnd w:id="10"/>
    </w:p>
    <w:p w14:paraId="2D81B46D" w14:textId="77777777" w:rsidR="009F4BED" w:rsidRPr="00957FE8" w:rsidRDefault="009F4BED" w:rsidP="009F4BED">
      <w:pPr>
        <w:rPr>
          <w:color w:val="3F251D"/>
        </w:rPr>
      </w:pPr>
    </w:p>
    <w:p w14:paraId="63F39515" w14:textId="3D99A390" w:rsidR="009F4BED" w:rsidRPr="00957FE8" w:rsidRDefault="00CB229F" w:rsidP="00DF71BE">
      <w:pPr>
        <w:jc w:val="both"/>
        <w:rPr>
          <w:i/>
          <w:color w:val="3F251D"/>
        </w:rPr>
      </w:pPr>
      <w:r w:rsidRPr="00957FE8">
        <w:rPr>
          <w:color w:val="3F251D"/>
        </w:rPr>
        <w:t>En 2014-2015, le CANB a entrepris une évaluation des besoins afin de mieux comprendre nos membres et ce dont ils ont besoin de notre part.</w:t>
      </w:r>
      <w:r w:rsidR="0090237D" w:rsidRPr="00957FE8">
        <w:rPr>
          <w:color w:val="3F251D"/>
        </w:rPr>
        <w:t xml:space="preserve"> </w:t>
      </w:r>
      <w:r w:rsidRPr="00957FE8">
        <w:rPr>
          <w:color w:val="3F251D"/>
        </w:rPr>
        <w:t>En 2019, la conseillère en archivistique, Kimberley Maguire, a colligé et analysé les données des résultats obtenus.</w:t>
      </w:r>
      <w:r w:rsidR="002F51D7" w:rsidRPr="00957FE8">
        <w:rPr>
          <w:color w:val="3F251D"/>
        </w:rPr>
        <w:t xml:space="preserve"> </w:t>
      </w:r>
      <w:r w:rsidRPr="00957FE8">
        <w:rPr>
          <w:color w:val="3F251D"/>
        </w:rPr>
        <w:t>Voici un résumé des conclusions de l’évaluation des besoins.</w:t>
      </w:r>
      <w:r w:rsidR="0090237D" w:rsidRPr="00957FE8">
        <w:rPr>
          <w:i/>
          <w:color w:val="3F251D"/>
        </w:rPr>
        <w:t xml:space="preserve"> </w:t>
      </w:r>
    </w:p>
    <w:p w14:paraId="12AB3E84" w14:textId="7A28A31D" w:rsidR="009F4BED" w:rsidRPr="00957FE8" w:rsidRDefault="00CB229F" w:rsidP="00DF71BE">
      <w:pPr>
        <w:jc w:val="both"/>
        <w:rPr>
          <w:i/>
          <w:color w:val="3F251D"/>
        </w:rPr>
      </w:pPr>
      <w:r w:rsidRPr="00957FE8">
        <w:rPr>
          <w:i/>
          <w:color w:val="3F251D"/>
        </w:rPr>
        <w:t>*Remarque – Les conclusions sont fondées sur les 17 évaluations des besoins qui ont été remises au CANB.</w:t>
      </w:r>
      <w:r w:rsidR="0090237D" w:rsidRPr="00957FE8">
        <w:rPr>
          <w:i/>
          <w:color w:val="3F251D"/>
        </w:rPr>
        <w:t xml:space="preserve"> </w:t>
      </w:r>
      <w:r w:rsidRPr="00957FE8">
        <w:rPr>
          <w:i/>
          <w:color w:val="3F251D"/>
        </w:rPr>
        <w:t>En 2015, cela représentait un peu moins de la moitié des membres du CANB.</w:t>
      </w:r>
    </w:p>
    <w:p w14:paraId="4E8A1968" w14:textId="0856C891" w:rsidR="00977343" w:rsidRPr="00957FE8" w:rsidRDefault="00CB229F" w:rsidP="00DF71BE">
      <w:pPr>
        <w:jc w:val="both"/>
        <w:rPr>
          <w:color w:val="3F251D"/>
        </w:rPr>
      </w:pPr>
      <w:r w:rsidRPr="00957FE8">
        <w:rPr>
          <w:b/>
          <w:color w:val="3F251D"/>
        </w:rPr>
        <w:t>Statistiques</w:t>
      </w:r>
    </w:p>
    <w:p w14:paraId="22FD8140" w14:textId="531E5EE5" w:rsidR="009F4BED" w:rsidRPr="00957FE8" w:rsidRDefault="00CB229F" w:rsidP="00DF71BE">
      <w:pPr>
        <w:jc w:val="both"/>
        <w:rPr>
          <w:color w:val="3F251D"/>
        </w:rPr>
      </w:pPr>
      <w:r w:rsidRPr="00957FE8">
        <w:rPr>
          <w:color w:val="3F251D"/>
        </w:rPr>
        <w:t>À travers les réponses à l’évaluation des besoins, il est clair que les statistiques compilées par les membres étaient généralement lacunaires.</w:t>
      </w:r>
      <w:r w:rsidR="0090237D" w:rsidRPr="00957FE8">
        <w:rPr>
          <w:color w:val="3F251D"/>
        </w:rPr>
        <w:t xml:space="preserve"> </w:t>
      </w:r>
      <w:r w:rsidRPr="00957FE8">
        <w:rPr>
          <w:color w:val="3F251D"/>
        </w:rPr>
        <w:t>Beaucoup de répondants n’ont pas tenu de statistiques concernant les visiteurs et les requêtes.</w:t>
      </w:r>
      <w:r w:rsidR="0090237D" w:rsidRPr="00957FE8">
        <w:rPr>
          <w:color w:val="3F251D"/>
        </w:rPr>
        <w:t xml:space="preserve"> </w:t>
      </w:r>
      <w:r w:rsidRPr="00957FE8">
        <w:rPr>
          <w:color w:val="3F251D"/>
        </w:rPr>
        <w:t>Beaucoup de membres n’ont pas été capables de dire combien ils ont de bénévoles ou le nombre d’heures que ceux-ci ont consacrées aux archives.</w:t>
      </w:r>
      <w:r w:rsidR="0090237D" w:rsidRPr="00957FE8">
        <w:rPr>
          <w:color w:val="3F251D"/>
        </w:rPr>
        <w:t xml:space="preserve"> </w:t>
      </w:r>
      <w:r w:rsidRPr="00957FE8">
        <w:rPr>
          <w:color w:val="3F251D"/>
        </w:rPr>
        <w:t>Cette tendance se maintient en 2019.</w:t>
      </w:r>
      <w:r w:rsidR="00805458" w:rsidRPr="00957FE8">
        <w:rPr>
          <w:rStyle w:val="fusionSegment"/>
          <w:color w:val="3F251D"/>
        </w:rPr>
        <w:t xml:space="preserve"> </w:t>
      </w:r>
      <w:r w:rsidRPr="00957FE8">
        <w:rPr>
          <w:color w:val="3F251D"/>
        </w:rPr>
        <w:t>Une récente enquête sur les membres a révélé que les répondants ne pouvaient toujours pas fournir de renseignements sur le nombre de visiteurs ou de requêtes reçus en 2018.</w:t>
      </w:r>
    </w:p>
    <w:p w14:paraId="72543F40" w14:textId="64CCB87A" w:rsidR="009F4BED" w:rsidRPr="00957FE8" w:rsidRDefault="00CB229F" w:rsidP="00DF71BE">
      <w:pPr>
        <w:jc w:val="both"/>
        <w:rPr>
          <w:color w:val="3F251D"/>
        </w:rPr>
      </w:pPr>
      <w:r w:rsidRPr="00957FE8">
        <w:rPr>
          <w:color w:val="3F251D"/>
        </w:rPr>
        <w:tab/>
        <w:t>Ce manque de chiffres importants constitue un problème pour les archives du Nouveau-Brunswick et pour le CANB.</w:t>
      </w:r>
      <w:r w:rsidR="0090237D" w:rsidRPr="00957FE8">
        <w:rPr>
          <w:color w:val="3F251D"/>
        </w:rPr>
        <w:t xml:space="preserve"> </w:t>
      </w:r>
      <w:r w:rsidRPr="00957FE8">
        <w:rPr>
          <w:color w:val="3F251D"/>
        </w:rPr>
        <w:t>En n’entretenant pas des statistiques exactes, les archives du Nouveau-Brunswick ne sont pas en mesure de démontrer leur valeur aux organismes de financement, aux donateurs, aux commanditaires et aux autres intervenants.</w:t>
      </w:r>
      <w:r w:rsidR="0090237D" w:rsidRPr="00957FE8">
        <w:rPr>
          <w:color w:val="3F251D"/>
        </w:rPr>
        <w:t xml:space="preserve"> </w:t>
      </w:r>
      <w:r w:rsidRPr="00957FE8">
        <w:rPr>
          <w:color w:val="3F251D"/>
        </w:rPr>
        <w:t>C’est une préoccupation pour le CANB, parce que cela signifie que nous ne savons pas précisément l’état des archives dans la province.</w:t>
      </w:r>
      <w:r w:rsidR="00A96C0E" w:rsidRPr="00957FE8">
        <w:rPr>
          <w:color w:val="3F251D"/>
        </w:rPr>
        <w:t xml:space="preserve"> </w:t>
      </w:r>
      <w:r w:rsidRPr="00957FE8">
        <w:rPr>
          <w:color w:val="3F251D"/>
        </w:rPr>
        <w:t xml:space="preserve">Par conséquent, il est recommandé que la conseillère en archivistique travaille à démontrer l’importance de cette information par des visites sur le terrain et des interactions fréquentes avec les membres du CANB. </w:t>
      </w:r>
    </w:p>
    <w:p w14:paraId="250B73A3" w14:textId="77777777" w:rsidR="009F4BED" w:rsidRPr="00957FE8" w:rsidRDefault="009F4BED" w:rsidP="009F4BED">
      <w:pPr>
        <w:rPr>
          <w:color w:val="3F251D"/>
        </w:rPr>
      </w:pPr>
    </w:p>
    <w:p w14:paraId="435FF195" w14:textId="0182353B" w:rsidR="00977343" w:rsidRPr="00957FE8" w:rsidRDefault="00CB229F" w:rsidP="009F4BED">
      <w:pPr>
        <w:rPr>
          <w:color w:val="3F251D"/>
        </w:rPr>
      </w:pPr>
      <w:r w:rsidRPr="00957FE8">
        <w:rPr>
          <w:b/>
          <w:color w:val="3F251D"/>
        </w:rPr>
        <w:t>CANBArchives</w:t>
      </w:r>
    </w:p>
    <w:p w14:paraId="52C3B1E7" w14:textId="3693B88D" w:rsidR="009F4BED" w:rsidRPr="00957FE8" w:rsidRDefault="00CB229F" w:rsidP="00DF71BE">
      <w:pPr>
        <w:jc w:val="both"/>
        <w:rPr>
          <w:color w:val="3F251D"/>
        </w:rPr>
      </w:pPr>
      <w:r w:rsidRPr="00957FE8">
        <w:rPr>
          <w:color w:val="3F251D"/>
        </w:rPr>
        <w:t>Seuls 52 % des répondants à l’évaluation des besoins ont contribué activement à CANBArchives.</w:t>
      </w:r>
      <w:r w:rsidR="0090237D" w:rsidRPr="00957FE8">
        <w:rPr>
          <w:color w:val="3F251D"/>
        </w:rPr>
        <w:t xml:space="preserve"> </w:t>
      </w:r>
      <w:r w:rsidRPr="00957FE8">
        <w:rPr>
          <w:color w:val="3F251D"/>
        </w:rPr>
        <w:t>Lorsqu’on leur demande pourquoi leur institution ne contribue pas à CANBArchives, les réponses les plus fréquentes sont « manque de savoir sur comment l’utiliser » et « temps exigé pour la saisie par rapport aux résultats flous ».</w:t>
      </w:r>
      <w:r w:rsidR="0090237D" w:rsidRPr="00957FE8">
        <w:rPr>
          <w:color w:val="3F251D"/>
        </w:rPr>
        <w:t xml:space="preserve"> </w:t>
      </w:r>
      <w:r w:rsidRPr="00957FE8">
        <w:rPr>
          <w:color w:val="3F251D"/>
        </w:rPr>
        <w:t>En réponse, l’assemblée générale annuelle de 2018 a compris une formation sur comment saisir des données dans CANBArchives.</w:t>
      </w:r>
      <w:r w:rsidR="0090237D" w:rsidRPr="00957FE8">
        <w:rPr>
          <w:color w:val="3F251D"/>
        </w:rPr>
        <w:t xml:space="preserve"> </w:t>
      </w:r>
      <w:r w:rsidRPr="00957FE8">
        <w:rPr>
          <w:color w:val="3F251D"/>
        </w:rPr>
        <w:t>La séance a été donnée par Ava Sturgeon, qui siège au comité exécutif et provient des archives de Grand Manan.</w:t>
      </w:r>
      <w:r w:rsidR="0090237D" w:rsidRPr="00957FE8">
        <w:rPr>
          <w:color w:val="3F251D"/>
        </w:rPr>
        <w:t xml:space="preserve"> </w:t>
      </w:r>
      <w:r w:rsidRPr="00957FE8">
        <w:rPr>
          <w:color w:val="3F251D"/>
        </w:rPr>
        <w:t>Le comité exécutif soutien aussi l’élaboration de vidéos YouTube présentant des exemples, comme ceux préparés par le Council of Nova Scotia Archives.</w:t>
      </w:r>
      <w:r w:rsidR="00A96C0E" w:rsidRPr="00957FE8">
        <w:rPr>
          <w:color w:val="3F251D"/>
        </w:rPr>
        <w:t xml:space="preserve"> </w:t>
      </w:r>
      <w:r w:rsidRPr="00957FE8">
        <w:rPr>
          <w:color w:val="3F251D"/>
        </w:rPr>
        <w:t>Nous croyons que ce mode de diffusion sera utile à tous les membres et peut être offert en français et en anglais.</w:t>
      </w:r>
    </w:p>
    <w:p w14:paraId="388CBD6A" w14:textId="149E1533" w:rsidR="009F4BED" w:rsidRPr="00957FE8" w:rsidRDefault="00CB229F" w:rsidP="00DF71BE">
      <w:pPr>
        <w:jc w:val="both"/>
        <w:rPr>
          <w:color w:val="3F251D"/>
        </w:rPr>
      </w:pPr>
      <w:r w:rsidRPr="00957FE8">
        <w:rPr>
          <w:color w:val="3F251D"/>
        </w:rPr>
        <w:lastRenderedPageBreak/>
        <w:tab/>
        <w:t>En 2019, seules 18 institutions membres sur 48 ont contribué à CANBArchives.</w:t>
      </w:r>
      <w:r w:rsidR="0090237D" w:rsidRPr="00957FE8">
        <w:rPr>
          <w:color w:val="3F251D"/>
        </w:rPr>
        <w:t xml:space="preserve"> </w:t>
      </w:r>
      <w:r w:rsidRPr="00957FE8">
        <w:rPr>
          <w:color w:val="3F251D"/>
        </w:rPr>
        <w:t>Le nombre d’institutions qui contribuent activement devrait être plus élevé.</w:t>
      </w:r>
      <w:r w:rsidR="0090237D" w:rsidRPr="00957FE8">
        <w:rPr>
          <w:color w:val="3F251D"/>
        </w:rPr>
        <w:t xml:space="preserve"> </w:t>
      </w:r>
      <w:r w:rsidRPr="00957FE8">
        <w:rPr>
          <w:color w:val="3F251D"/>
        </w:rPr>
        <w:t>En plus de la formation mentionnée précédemment, le CANB devrait discuter avec le créateur du logiciel, Artefactual Systems, de la possibilité d’ajouter une fonction de suivi Web à CANBArchives.</w:t>
      </w:r>
      <w:r w:rsidR="0090237D" w:rsidRPr="00957FE8">
        <w:rPr>
          <w:color w:val="3F251D"/>
        </w:rPr>
        <w:t xml:space="preserve"> </w:t>
      </w:r>
      <w:r w:rsidRPr="00957FE8">
        <w:rPr>
          <w:color w:val="3F251D"/>
        </w:rPr>
        <w:t>Ces statistiques pourraient aider à démontrer aux membres comment leurs documents sont consultés sur le site Web CANBArchives.</w:t>
      </w:r>
      <w:r w:rsidR="001C3849" w:rsidRPr="00957FE8">
        <w:rPr>
          <w:color w:val="3F251D"/>
        </w:rPr>
        <w:t xml:space="preserve"> </w:t>
      </w:r>
      <w:r w:rsidRPr="00957FE8">
        <w:rPr>
          <w:color w:val="3F251D"/>
        </w:rPr>
        <w:t>Nous espérons que les chiffres sur la fréquentation du site encourageront plus d’institutions à ajouter du contenu et à utiliser CANBArchives.</w:t>
      </w:r>
    </w:p>
    <w:p w14:paraId="0A4B64D3" w14:textId="44198540" w:rsidR="00977343" w:rsidRPr="00957FE8" w:rsidRDefault="00CB229F" w:rsidP="009F4BED">
      <w:pPr>
        <w:rPr>
          <w:color w:val="3F251D"/>
        </w:rPr>
      </w:pPr>
      <w:r w:rsidRPr="00957FE8">
        <w:rPr>
          <w:b/>
          <w:color w:val="3F251D"/>
        </w:rPr>
        <w:t>Formation</w:t>
      </w:r>
    </w:p>
    <w:p w14:paraId="0967B9EA" w14:textId="0C231DCD" w:rsidR="009F4BED" w:rsidRPr="00957FE8" w:rsidRDefault="00CB229F" w:rsidP="00DF71BE">
      <w:pPr>
        <w:jc w:val="both"/>
        <w:rPr>
          <w:color w:val="3F251D"/>
        </w:rPr>
      </w:pPr>
      <w:r w:rsidRPr="00957FE8">
        <w:rPr>
          <w:color w:val="3F251D"/>
        </w:rPr>
        <w:t>Lorsqu’on a demandé aux répondants d’indiquer les occasions de formation et les sujets qu’ils souhaitaient voir offerts par le CANB à l'avenir, la majorité des réponses étaient des formations et des sujets déjà offerts.</w:t>
      </w:r>
      <w:r w:rsidR="0090237D" w:rsidRPr="00957FE8">
        <w:rPr>
          <w:color w:val="3F251D"/>
        </w:rPr>
        <w:t xml:space="preserve"> </w:t>
      </w:r>
      <w:r w:rsidRPr="00957FE8">
        <w:rPr>
          <w:color w:val="3F251D"/>
        </w:rPr>
        <w:t>La principale recommandation fondée sur cette découverte est qu’il est nécessaire de mieux promouvoir les ateliers et les formations disponibles aux membres par l’</w:t>
      </w:r>
      <w:r w:rsidR="005E1FDF" w:rsidRPr="00957FE8">
        <w:rPr>
          <w:color w:val="3F251D"/>
        </w:rPr>
        <w:t>intermédiaire</w:t>
      </w:r>
      <w:r w:rsidRPr="00957FE8">
        <w:rPr>
          <w:color w:val="3F251D"/>
        </w:rPr>
        <w:t xml:space="preserve"> du CANB.</w:t>
      </w:r>
      <w:r w:rsidR="0090237D" w:rsidRPr="00957FE8">
        <w:rPr>
          <w:color w:val="3F251D"/>
        </w:rPr>
        <w:t xml:space="preserve"> </w:t>
      </w:r>
      <w:r w:rsidRPr="00957FE8">
        <w:rPr>
          <w:color w:val="3F251D"/>
        </w:rPr>
        <w:t>Le CANB devrait aussi étudier de nouvelles façons de transmettre du contenu éducatif.</w:t>
      </w:r>
      <w:r w:rsidR="0090237D" w:rsidRPr="00957FE8">
        <w:rPr>
          <w:color w:val="3F251D"/>
        </w:rPr>
        <w:t xml:space="preserve"> </w:t>
      </w:r>
      <w:r w:rsidRPr="00957FE8">
        <w:rPr>
          <w:color w:val="3F251D"/>
        </w:rPr>
        <w:t>Par exemple, des vidéos YouTube, comme ceux récemment créés par le Council of Nova Scotia Archives sur l’utilisation de MemoryNS, pourraient constituer une façon pour le CANB de donner un accès facile à de la formation et du contenu éducatif.</w:t>
      </w:r>
      <w:r w:rsidR="005E1FDF" w:rsidRPr="00957FE8">
        <w:rPr>
          <w:color w:val="3F251D"/>
        </w:rPr>
        <w:t xml:space="preserve"> </w:t>
      </w:r>
      <w:r w:rsidRPr="00957FE8">
        <w:rPr>
          <w:color w:val="3F251D"/>
        </w:rPr>
        <w:t>La création de guides en ligne ou de fiches de renseignements pourrait aussi être une façon de diffuser du contenu éducatif aux membres du CANB.</w:t>
      </w:r>
      <w:r w:rsidR="0090237D" w:rsidRPr="00957FE8">
        <w:rPr>
          <w:color w:val="3F251D"/>
        </w:rPr>
        <w:t xml:space="preserve"> </w:t>
      </w:r>
    </w:p>
    <w:p w14:paraId="6B53EF84" w14:textId="1E44F69F" w:rsidR="00977343" w:rsidRPr="00957FE8" w:rsidRDefault="00CB229F" w:rsidP="00DF71BE">
      <w:pPr>
        <w:jc w:val="both"/>
        <w:rPr>
          <w:color w:val="3F251D"/>
        </w:rPr>
      </w:pPr>
      <w:r w:rsidRPr="00957FE8">
        <w:rPr>
          <w:b/>
          <w:color w:val="3F251D"/>
        </w:rPr>
        <w:t>Priorités</w:t>
      </w:r>
    </w:p>
    <w:p w14:paraId="0E188CEC" w14:textId="4261FA33" w:rsidR="009F4BED" w:rsidRPr="00957FE8" w:rsidRDefault="00CB229F" w:rsidP="00DF71BE">
      <w:pPr>
        <w:jc w:val="both"/>
        <w:rPr>
          <w:color w:val="3F251D"/>
        </w:rPr>
      </w:pPr>
      <w:r w:rsidRPr="00957FE8">
        <w:rPr>
          <w:color w:val="3F251D"/>
        </w:rPr>
        <w:t xml:space="preserve">Les trois priorités suivantes </w:t>
      </w:r>
      <w:r w:rsidR="005E1FDF" w:rsidRPr="00957FE8">
        <w:rPr>
          <w:color w:val="3F251D"/>
        </w:rPr>
        <w:t>ont été recensées par l’intermédiaire</w:t>
      </w:r>
      <w:r w:rsidRPr="00957FE8">
        <w:rPr>
          <w:color w:val="3F251D"/>
        </w:rPr>
        <w:t xml:space="preserve"> de l’évaluation des besoins</w:t>
      </w:r>
    </w:p>
    <w:p w14:paraId="5EE2F7D9" w14:textId="033E3B2B" w:rsidR="009F4BED" w:rsidRPr="00957FE8" w:rsidRDefault="00CB229F" w:rsidP="00DF71BE">
      <w:pPr>
        <w:pStyle w:val="Paragraphedeliste"/>
        <w:numPr>
          <w:ilvl w:val="0"/>
          <w:numId w:val="26"/>
        </w:numPr>
        <w:jc w:val="both"/>
        <w:rPr>
          <w:color w:val="3F251D"/>
        </w:rPr>
      </w:pPr>
      <w:r w:rsidRPr="00957FE8">
        <w:rPr>
          <w:color w:val="3F251D"/>
        </w:rPr>
        <w:t>Collecte de statistiques – le CANB doit promouvoir la collecte de statistiques afin d’obtenir un portrait fiable de nos activités et de leurs effets sur le milieu patrimonial au Nouveau-Brunswick.</w:t>
      </w:r>
      <w:r w:rsidR="0090237D" w:rsidRPr="00957FE8">
        <w:rPr>
          <w:color w:val="3F251D"/>
        </w:rPr>
        <w:t xml:space="preserve"> </w:t>
      </w:r>
      <w:r w:rsidRPr="00957FE8">
        <w:rPr>
          <w:color w:val="3F251D"/>
        </w:rPr>
        <w:t xml:space="preserve">Ces renseignements peuvent mettre en évidence l’importance de nos efforts et renforceront nos demandes auprès des organismes de financement. </w:t>
      </w:r>
    </w:p>
    <w:p w14:paraId="444B2FED" w14:textId="77777777" w:rsidR="009F4BED" w:rsidRPr="00957FE8" w:rsidRDefault="009F4BED" w:rsidP="00DF71BE">
      <w:pPr>
        <w:pStyle w:val="Paragraphedeliste"/>
        <w:jc w:val="both"/>
        <w:rPr>
          <w:color w:val="3F251D"/>
        </w:rPr>
      </w:pPr>
    </w:p>
    <w:p w14:paraId="137A66C0" w14:textId="5EC5F52E" w:rsidR="009F4BED" w:rsidRPr="00957FE8" w:rsidRDefault="00CB229F" w:rsidP="00DF71BE">
      <w:pPr>
        <w:pStyle w:val="Paragraphedeliste"/>
        <w:numPr>
          <w:ilvl w:val="0"/>
          <w:numId w:val="26"/>
        </w:numPr>
        <w:jc w:val="both"/>
        <w:rPr>
          <w:color w:val="3F251D"/>
        </w:rPr>
      </w:pPr>
      <w:r w:rsidRPr="00957FE8">
        <w:rPr>
          <w:color w:val="3F251D"/>
        </w:rPr>
        <w:t>CANBArchives – Il semble y avoir un manque de compréhension des avantages qu’offre la saisie des descriptions dans CANBArchives.</w:t>
      </w:r>
      <w:r w:rsidR="0090237D" w:rsidRPr="00957FE8">
        <w:rPr>
          <w:color w:val="3F251D"/>
        </w:rPr>
        <w:t xml:space="preserve"> </w:t>
      </w:r>
      <w:r w:rsidRPr="00957FE8">
        <w:rPr>
          <w:color w:val="3F251D"/>
        </w:rPr>
        <w:t>Le CANB doit insister sur le fait que plus de contenu signifie plus de sensibilisation par l’</w:t>
      </w:r>
      <w:r w:rsidR="005E1FDF" w:rsidRPr="00957FE8">
        <w:rPr>
          <w:color w:val="3F251D"/>
        </w:rPr>
        <w:t>intermédiaire</w:t>
      </w:r>
      <w:r w:rsidRPr="00957FE8">
        <w:rPr>
          <w:color w:val="3F251D"/>
        </w:rPr>
        <w:t xml:space="preserve"> d’Internet.</w:t>
      </w:r>
      <w:r w:rsidR="0090237D" w:rsidRPr="00957FE8">
        <w:rPr>
          <w:color w:val="3F251D"/>
        </w:rPr>
        <w:t xml:space="preserve"> </w:t>
      </w:r>
      <w:r w:rsidRPr="00957FE8">
        <w:rPr>
          <w:color w:val="3F251D"/>
        </w:rPr>
        <w:t>La plateforme CANBArchives permet l’utilisation de liens et est parcourue par des navigateurs comme Google, ce qui met son contenu à la disposition de milliards d’utilisateurs faisant des recherches en ligne.</w:t>
      </w:r>
      <w:r w:rsidR="0090237D" w:rsidRPr="00957FE8">
        <w:rPr>
          <w:color w:val="3F251D"/>
        </w:rPr>
        <w:t xml:space="preserve"> </w:t>
      </w:r>
      <w:r w:rsidRPr="00957FE8">
        <w:rPr>
          <w:color w:val="3F251D"/>
        </w:rPr>
        <w:t>Le CANB doit promouvoir ce service, étant donné que nous payons actuellement pour rendre nos fonds documentaires disponibles.</w:t>
      </w:r>
      <w:r w:rsidR="0090237D" w:rsidRPr="00957FE8">
        <w:rPr>
          <w:color w:val="3F251D"/>
        </w:rPr>
        <w:t xml:space="preserve"> </w:t>
      </w:r>
      <w:r w:rsidRPr="00957FE8">
        <w:rPr>
          <w:color w:val="3F251D"/>
        </w:rPr>
        <w:t xml:space="preserve">Le CANB devrait aussi étudier la possibilité de demander du financement fédéral pour transférer les données des membres qui utilisent d’autres bases de données afin que cette information soit partagée plus amplement. </w:t>
      </w:r>
    </w:p>
    <w:p w14:paraId="59C48A72" w14:textId="77777777" w:rsidR="009F4BED" w:rsidRPr="00957FE8" w:rsidRDefault="009F4BED" w:rsidP="00DF71BE">
      <w:pPr>
        <w:pStyle w:val="Paragraphedeliste"/>
        <w:jc w:val="both"/>
        <w:rPr>
          <w:color w:val="3F251D"/>
        </w:rPr>
      </w:pPr>
    </w:p>
    <w:p w14:paraId="6400282E" w14:textId="77777777" w:rsidR="009F4BED" w:rsidRPr="00957FE8" w:rsidRDefault="009F4BED" w:rsidP="00DF71BE">
      <w:pPr>
        <w:pStyle w:val="Paragraphedeliste"/>
        <w:jc w:val="both"/>
        <w:rPr>
          <w:color w:val="3F251D"/>
        </w:rPr>
      </w:pPr>
    </w:p>
    <w:p w14:paraId="751254B5" w14:textId="333ECF1D" w:rsidR="009F4BED" w:rsidRPr="00957FE8" w:rsidRDefault="00CB229F" w:rsidP="00DF71BE">
      <w:pPr>
        <w:pStyle w:val="Paragraphedeliste"/>
        <w:numPr>
          <w:ilvl w:val="0"/>
          <w:numId w:val="26"/>
        </w:numPr>
        <w:jc w:val="both"/>
        <w:rPr>
          <w:color w:val="3F251D"/>
        </w:rPr>
      </w:pPr>
      <w:r w:rsidRPr="00957FE8">
        <w:rPr>
          <w:color w:val="3F251D"/>
        </w:rPr>
        <w:t>Formation et perfectionnement professionnel – les répondants ont indiqué leur souhait d’avoir accès à des guides en ligne sur les pratiques d’archivage.</w:t>
      </w:r>
      <w:r w:rsidR="0090237D" w:rsidRPr="00957FE8">
        <w:rPr>
          <w:color w:val="3F251D"/>
        </w:rPr>
        <w:t xml:space="preserve"> </w:t>
      </w:r>
      <w:r w:rsidRPr="00957FE8">
        <w:rPr>
          <w:color w:val="3F251D"/>
        </w:rPr>
        <w:t>En réponse à cette recommandation, le CANB devrait continuer à créer des guides afin de faire connaître ces outils.</w:t>
      </w:r>
      <w:r w:rsidR="0090237D" w:rsidRPr="00957FE8">
        <w:rPr>
          <w:color w:val="3F251D"/>
        </w:rPr>
        <w:t xml:space="preserve"> </w:t>
      </w:r>
      <w:r w:rsidRPr="00957FE8">
        <w:rPr>
          <w:color w:val="3F251D"/>
        </w:rPr>
        <w:t>Presque tous les sujets d’atelier qui ont été proposés sont déjà offerts par le CANB.</w:t>
      </w:r>
      <w:r w:rsidR="0090237D" w:rsidRPr="00957FE8">
        <w:rPr>
          <w:color w:val="3F251D"/>
        </w:rPr>
        <w:t xml:space="preserve"> </w:t>
      </w:r>
      <w:r w:rsidRPr="00957FE8">
        <w:rPr>
          <w:color w:val="3F251D"/>
        </w:rPr>
        <w:t>Par conséquent, une campagne pour faire la promotion des ateliers devrait être organisée.</w:t>
      </w:r>
      <w:r w:rsidR="0090237D" w:rsidRPr="00957FE8">
        <w:rPr>
          <w:color w:val="3F251D"/>
        </w:rPr>
        <w:t xml:space="preserve"> </w:t>
      </w:r>
      <w:r w:rsidRPr="00957FE8">
        <w:rPr>
          <w:color w:val="3F251D"/>
        </w:rPr>
        <w:t>Sinon, nous pourrions envisager d’offrir un programme de certificat exigeant d’avoir suivi un certain nombre d’ateliers afin de devenir un archiviste formé par le CANB.</w:t>
      </w:r>
      <w:r w:rsidR="0090237D" w:rsidRPr="00957FE8">
        <w:rPr>
          <w:color w:val="3F251D"/>
        </w:rPr>
        <w:t xml:space="preserve"> </w:t>
      </w:r>
      <w:r w:rsidRPr="00957FE8">
        <w:rPr>
          <w:color w:val="3F251D"/>
        </w:rPr>
        <w:t>Il pourrait aussi être utile de tenir des ateliers d’une journée ou d’une demi-journée à Fredericton pour permettre à plusieurs personnes de participer et de compléter ce programme de certificat.</w:t>
      </w:r>
      <w:r w:rsidR="0090237D" w:rsidRPr="00957FE8">
        <w:rPr>
          <w:color w:val="3F251D"/>
        </w:rPr>
        <w:t xml:space="preserve"> </w:t>
      </w:r>
    </w:p>
    <w:p w14:paraId="5B48A873" w14:textId="395C60E7" w:rsidR="009F4BED" w:rsidRPr="00957FE8" w:rsidRDefault="00CB229F" w:rsidP="00DF71BE">
      <w:pPr>
        <w:pStyle w:val="Paragraphedeliste"/>
        <w:ind w:firstLine="720"/>
        <w:jc w:val="both"/>
        <w:rPr>
          <w:color w:val="3F251D"/>
        </w:rPr>
      </w:pPr>
      <w:r w:rsidRPr="00957FE8">
        <w:rPr>
          <w:color w:val="3F251D"/>
        </w:rPr>
        <w:t>Bien que la planification en cas de désastre et le droit d’auteur n’aient pas été proposés par les répondants comme sujets d’atelier, l’évaluation des besoins a clairement démontré que nous devrions couvrir ces sujets.</w:t>
      </w:r>
      <w:r w:rsidR="0090237D" w:rsidRPr="00957FE8">
        <w:rPr>
          <w:color w:val="3F251D"/>
        </w:rPr>
        <w:t xml:space="preserve"> </w:t>
      </w:r>
      <w:r w:rsidRPr="00957FE8">
        <w:rPr>
          <w:color w:val="3F251D"/>
        </w:rPr>
        <w:t>Le CANB a besoin de favoriser une meilleure compréhension de ces sujets importants parmi ses membres.</w:t>
      </w:r>
      <w:r w:rsidR="0090237D" w:rsidRPr="00957FE8">
        <w:rPr>
          <w:color w:val="3F251D"/>
        </w:rPr>
        <w:t xml:space="preserve"> </w:t>
      </w:r>
      <w:r w:rsidRPr="00957FE8">
        <w:rPr>
          <w:color w:val="3F251D"/>
        </w:rPr>
        <w:t>Par conséquent, le CANB recommande la création d’un atelier et de documents éducatifs disponibles en ligne pour ses membres.</w:t>
      </w:r>
      <w:r w:rsidR="0090237D" w:rsidRPr="00957FE8">
        <w:rPr>
          <w:color w:val="3F251D"/>
        </w:rPr>
        <w:t xml:space="preserve"> </w:t>
      </w:r>
    </w:p>
    <w:p w14:paraId="0D7337FF" w14:textId="77777777" w:rsidR="005D2B27" w:rsidRPr="00957FE8" w:rsidRDefault="005D2B27" w:rsidP="005D2B27">
      <w:pPr>
        <w:rPr>
          <w:color w:val="3F251D"/>
        </w:rPr>
      </w:pPr>
    </w:p>
    <w:sectPr w:rsidR="005D2B27" w:rsidRPr="00957F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319B3" w14:textId="77777777" w:rsidR="00424AC5" w:rsidRDefault="00424AC5">
      <w:pPr>
        <w:spacing w:before="0" w:after="0" w:line="240" w:lineRule="auto"/>
      </w:pPr>
      <w:r>
        <w:separator/>
      </w:r>
    </w:p>
  </w:endnote>
  <w:endnote w:type="continuationSeparator" w:id="0">
    <w:p w14:paraId="5DD427D3" w14:textId="77777777" w:rsidR="00424AC5" w:rsidRDefault="00424A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5C402" w14:textId="77777777" w:rsidR="005E1FDF" w:rsidRDefault="005E1F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4EE7" w14:textId="77777777" w:rsidR="005E1FDF" w:rsidRDefault="005E1FD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7D538" w14:textId="77777777" w:rsidR="005E1FDF" w:rsidRDefault="005E1F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8D188" w14:textId="77777777" w:rsidR="00424AC5" w:rsidRDefault="00424AC5">
      <w:pPr>
        <w:spacing w:before="0" w:after="0" w:line="240" w:lineRule="auto"/>
      </w:pPr>
      <w:r>
        <w:separator/>
      </w:r>
    </w:p>
  </w:footnote>
  <w:footnote w:type="continuationSeparator" w:id="0">
    <w:p w14:paraId="580560CD" w14:textId="77777777" w:rsidR="00424AC5" w:rsidRDefault="00424A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F51A9" w14:textId="77777777" w:rsidR="005E1FDF" w:rsidRDefault="005E1F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A528B" w14:textId="77777777" w:rsidR="005E1FDF" w:rsidRDefault="005E1FD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C2E7B" w14:textId="77777777" w:rsidR="005E1FDF" w:rsidRDefault="005E1F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FEF7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D0ED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38F7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B24A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D446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304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B4F5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8EC6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75781F0C"/>
    <w:lvl w:ilvl="0">
      <w:start w:val="1"/>
      <w:numFmt w:val="bullet"/>
      <w:pStyle w:val="Listepuces"/>
      <w:lvlText w:val="−"/>
      <w:lvlJc w:val="left"/>
      <w:pPr>
        <w:ind w:left="720" w:hanging="360"/>
      </w:pPr>
      <w:rPr>
        <w:rFonts w:ascii="Century Gothic" w:hAnsi="Century Gothic" w:hint="default"/>
        <w:color w:val="0D0D0D" w:themeColor="text1" w:themeTint="F2"/>
      </w:rPr>
    </w:lvl>
  </w:abstractNum>
  <w:abstractNum w:abstractNumId="10" w15:restartNumberingAfterBreak="0">
    <w:nsid w:val="07185F51"/>
    <w:multiLevelType w:val="hybridMultilevel"/>
    <w:tmpl w:val="D7543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7B67D8F"/>
    <w:multiLevelType w:val="hybridMultilevel"/>
    <w:tmpl w:val="56C43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954B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34150AB"/>
    <w:multiLevelType w:val="hybridMultilevel"/>
    <w:tmpl w:val="05A009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BE426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DD58DE"/>
    <w:multiLevelType w:val="hybridMultilevel"/>
    <w:tmpl w:val="EB0826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EF97E98"/>
    <w:multiLevelType w:val="hybridMultilevel"/>
    <w:tmpl w:val="BDF4B0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277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1F8F5B63"/>
    <w:multiLevelType w:val="multilevel"/>
    <w:tmpl w:val="1CD6B8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A3440CC"/>
    <w:multiLevelType w:val="multilevel"/>
    <w:tmpl w:val="B5CE57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CA73EA9"/>
    <w:multiLevelType w:val="hybridMultilevel"/>
    <w:tmpl w:val="29F64B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2BE6A29"/>
    <w:multiLevelType w:val="hybridMultilevel"/>
    <w:tmpl w:val="92B6B6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E492663"/>
    <w:multiLevelType w:val="hybridMultilevel"/>
    <w:tmpl w:val="D6F62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D98104F"/>
    <w:multiLevelType w:val="hybridMultilevel"/>
    <w:tmpl w:val="CC4864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5D0300A2"/>
    <w:multiLevelType w:val="hybridMultilevel"/>
    <w:tmpl w:val="78247F5C"/>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24" w15:restartNumberingAfterBreak="0">
    <w:nsid w:val="65BC271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BE0360C"/>
    <w:multiLevelType w:val="multilevel"/>
    <w:tmpl w:val="2E96955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num>
  <w:num w:numId="3">
    <w:abstractNumId w:val="8"/>
  </w:num>
  <w:num w:numId="4">
    <w:abstractNumId w:val="8"/>
  </w:num>
  <w:num w:numId="5">
    <w:abstractNumId w:val="9"/>
  </w:num>
  <w:num w:numId="6">
    <w:abstractNumId w:val="8"/>
  </w:num>
  <w:num w:numId="7">
    <w:abstractNumId w:val="14"/>
  </w:num>
  <w:num w:numId="8">
    <w:abstractNumId w:val="12"/>
  </w:num>
  <w:num w:numId="9">
    <w:abstractNumId w:val="18"/>
  </w:num>
  <w:num w:numId="10">
    <w:abstractNumId w:val="17"/>
  </w:num>
  <w:num w:numId="11">
    <w:abstractNumId w:val="25"/>
  </w:num>
  <w:num w:numId="12">
    <w:abstractNumId w:val="24"/>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0"/>
  </w:num>
  <w:num w:numId="24">
    <w:abstractNumId w:val="19"/>
  </w:num>
  <w:num w:numId="25">
    <w:abstractNumId w:val="13"/>
  </w:num>
  <w:num w:numId="26">
    <w:abstractNumId w:val="15"/>
  </w:num>
  <w:num w:numId="27">
    <w:abstractNumId w:val="11"/>
  </w:num>
  <w:num w:numId="28">
    <w:abstractNumId w:val="16"/>
  </w:num>
  <w:num w:numId="29">
    <w:abstractNumId w:val="2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73E320B-7B1B-4672-8B7B-6674933E75CC}"/>
    <w:docVar w:name="dgnword-eventsink" w:val="2478911571040"/>
  </w:docVars>
  <w:rsids>
    <w:rsidRoot w:val="00587406"/>
    <w:rsid w:val="00016568"/>
    <w:rsid w:val="0001658A"/>
    <w:rsid w:val="00033168"/>
    <w:rsid w:val="000525FB"/>
    <w:rsid w:val="000748AA"/>
    <w:rsid w:val="000755B4"/>
    <w:rsid w:val="00081B15"/>
    <w:rsid w:val="000A3294"/>
    <w:rsid w:val="000C52FF"/>
    <w:rsid w:val="000C7956"/>
    <w:rsid w:val="0010132E"/>
    <w:rsid w:val="00115301"/>
    <w:rsid w:val="00117447"/>
    <w:rsid w:val="001638F6"/>
    <w:rsid w:val="001A2000"/>
    <w:rsid w:val="001C3849"/>
    <w:rsid w:val="00204222"/>
    <w:rsid w:val="002156DE"/>
    <w:rsid w:val="00224DB0"/>
    <w:rsid w:val="002269F4"/>
    <w:rsid w:val="002929C7"/>
    <w:rsid w:val="002B3495"/>
    <w:rsid w:val="002F51D7"/>
    <w:rsid w:val="003209D6"/>
    <w:rsid w:val="00321806"/>
    <w:rsid w:val="003341B8"/>
    <w:rsid w:val="00334A73"/>
    <w:rsid w:val="003422FF"/>
    <w:rsid w:val="00347BA3"/>
    <w:rsid w:val="00350AC6"/>
    <w:rsid w:val="00387C51"/>
    <w:rsid w:val="003B2947"/>
    <w:rsid w:val="00424AC5"/>
    <w:rsid w:val="00431858"/>
    <w:rsid w:val="004327E8"/>
    <w:rsid w:val="00454FCA"/>
    <w:rsid w:val="00456105"/>
    <w:rsid w:val="004952C4"/>
    <w:rsid w:val="004D4952"/>
    <w:rsid w:val="00507776"/>
    <w:rsid w:val="00507EAA"/>
    <w:rsid w:val="00513D22"/>
    <w:rsid w:val="005307A3"/>
    <w:rsid w:val="00531702"/>
    <w:rsid w:val="0058340D"/>
    <w:rsid w:val="0058573B"/>
    <w:rsid w:val="00587406"/>
    <w:rsid w:val="005A197D"/>
    <w:rsid w:val="005A1C5A"/>
    <w:rsid w:val="005D2B27"/>
    <w:rsid w:val="005E1FDF"/>
    <w:rsid w:val="005E33A9"/>
    <w:rsid w:val="005E795E"/>
    <w:rsid w:val="005F2BB6"/>
    <w:rsid w:val="005F7F82"/>
    <w:rsid w:val="00626B65"/>
    <w:rsid w:val="00690EFD"/>
    <w:rsid w:val="00692165"/>
    <w:rsid w:val="007021DE"/>
    <w:rsid w:val="00732607"/>
    <w:rsid w:val="00761639"/>
    <w:rsid w:val="0077265C"/>
    <w:rsid w:val="007E09A0"/>
    <w:rsid w:val="00805458"/>
    <w:rsid w:val="00844483"/>
    <w:rsid w:val="0085796B"/>
    <w:rsid w:val="0086445D"/>
    <w:rsid w:val="008818FD"/>
    <w:rsid w:val="008D0676"/>
    <w:rsid w:val="008E3217"/>
    <w:rsid w:val="0090237D"/>
    <w:rsid w:val="00934F1C"/>
    <w:rsid w:val="009355D8"/>
    <w:rsid w:val="00946405"/>
    <w:rsid w:val="00957FE8"/>
    <w:rsid w:val="00977343"/>
    <w:rsid w:val="009D2231"/>
    <w:rsid w:val="009D4217"/>
    <w:rsid w:val="009F05C3"/>
    <w:rsid w:val="009F4BED"/>
    <w:rsid w:val="009F7D2C"/>
    <w:rsid w:val="00A122DB"/>
    <w:rsid w:val="00A4062C"/>
    <w:rsid w:val="00A6716A"/>
    <w:rsid w:val="00A96C0E"/>
    <w:rsid w:val="00AB4AF8"/>
    <w:rsid w:val="00AC6E6C"/>
    <w:rsid w:val="00AD165F"/>
    <w:rsid w:val="00AF41DC"/>
    <w:rsid w:val="00B1091B"/>
    <w:rsid w:val="00B43170"/>
    <w:rsid w:val="00B47B7A"/>
    <w:rsid w:val="00B60D73"/>
    <w:rsid w:val="00B646B8"/>
    <w:rsid w:val="00B94F8F"/>
    <w:rsid w:val="00BA5FD3"/>
    <w:rsid w:val="00BA7808"/>
    <w:rsid w:val="00BD551C"/>
    <w:rsid w:val="00C25566"/>
    <w:rsid w:val="00C436B5"/>
    <w:rsid w:val="00C61EDF"/>
    <w:rsid w:val="00C6267D"/>
    <w:rsid w:val="00C65141"/>
    <w:rsid w:val="00C80BD4"/>
    <w:rsid w:val="00C962CC"/>
    <w:rsid w:val="00CB229F"/>
    <w:rsid w:val="00CB58C1"/>
    <w:rsid w:val="00CF2B75"/>
    <w:rsid w:val="00CF3A42"/>
    <w:rsid w:val="00D24A47"/>
    <w:rsid w:val="00D5413C"/>
    <w:rsid w:val="00D559D6"/>
    <w:rsid w:val="00D56B0F"/>
    <w:rsid w:val="00DA2BA1"/>
    <w:rsid w:val="00DC07A3"/>
    <w:rsid w:val="00DF71BE"/>
    <w:rsid w:val="00E11B8A"/>
    <w:rsid w:val="00E24AD6"/>
    <w:rsid w:val="00E719EC"/>
    <w:rsid w:val="00E906B0"/>
    <w:rsid w:val="00ED192A"/>
    <w:rsid w:val="00ED4CEF"/>
    <w:rsid w:val="00F3176D"/>
    <w:rsid w:val="00F351DD"/>
    <w:rsid w:val="00F44E79"/>
    <w:rsid w:val="00F677F9"/>
    <w:rsid w:val="00FB157B"/>
    <w:rsid w:val="00FD1504"/>
    <w:rsid w:val="00FD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CE6C9F"/>
  <w15:chartTrackingRefBased/>
  <w15:docId w15:val="{3F7C5D22-30D9-4C45-9C25-467843D7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D322D" w:themeColor="text2"/>
        <w:sz w:val="22"/>
        <w:szCs w:val="22"/>
        <w:lang w:val="fr-CA"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4" w:unhideWhenUsed="1" w:qFormat="1"/>
    <w:lsdException w:name="heading 5" w:semiHidden="1" w:uiPriority="13" w:unhideWhenUsed="1" w:qFormat="1"/>
    <w:lsdException w:name="heading 6" w:semiHidden="1" w:uiPriority="13"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1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unhideWhenUsed="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1504"/>
  </w:style>
  <w:style w:type="paragraph" w:styleId="Titre1">
    <w:name w:val="heading 1"/>
    <w:basedOn w:val="Normal"/>
    <w:next w:val="Normal"/>
    <w:link w:val="Titre1Car"/>
    <w:uiPriority w:val="4"/>
    <w:qFormat/>
    <w:rsid w:val="00A122DB"/>
    <w:pPr>
      <w:keepNext/>
      <w:keepLines/>
      <w:spacing w:before="600" w:after="60"/>
      <w:outlineLvl w:val="0"/>
    </w:pPr>
    <w:rPr>
      <w:rFonts w:asciiTheme="majorHAnsi" w:eastAsiaTheme="majorEastAsia" w:hAnsiTheme="majorHAnsi" w:cstheme="majorBidi"/>
      <w:color w:val="3F251D" w:themeColor="accent1"/>
      <w:sz w:val="30"/>
      <w:szCs w:val="30"/>
    </w:rPr>
  </w:style>
  <w:style w:type="paragraph" w:styleId="Titre2">
    <w:name w:val="heading 2"/>
    <w:basedOn w:val="Normal"/>
    <w:next w:val="Normal"/>
    <w:link w:val="Titre2Car"/>
    <w:uiPriority w:val="4"/>
    <w:unhideWhenUsed/>
    <w:qFormat/>
    <w:rsid w:val="00A122DB"/>
    <w:pPr>
      <w:keepNext/>
      <w:keepLines/>
      <w:spacing w:before="240" w:after="0"/>
      <w:outlineLvl w:val="1"/>
    </w:pPr>
    <w:rPr>
      <w:rFonts w:asciiTheme="majorHAnsi" w:eastAsiaTheme="majorEastAsia" w:hAnsiTheme="majorHAnsi" w:cstheme="majorBidi"/>
      <w:caps/>
      <w:color w:val="3F251D" w:themeColor="accent1"/>
    </w:rPr>
  </w:style>
  <w:style w:type="paragraph" w:styleId="Titre3">
    <w:name w:val="heading 3"/>
    <w:basedOn w:val="Normal"/>
    <w:next w:val="Normal"/>
    <w:link w:val="Titre3Car"/>
    <w:uiPriority w:val="4"/>
    <w:semiHidden/>
    <w:unhideWhenUsed/>
    <w:qFormat/>
    <w:rsid w:val="00A122DB"/>
    <w:pPr>
      <w:keepNext/>
      <w:keepLines/>
      <w:spacing w:before="200" w:after="0"/>
      <w:outlineLvl w:val="2"/>
    </w:pPr>
    <w:rPr>
      <w:rFonts w:asciiTheme="majorHAnsi" w:eastAsiaTheme="majorEastAsia" w:hAnsiTheme="majorHAnsi" w:cstheme="majorBidi"/>
      <w:color w:val="3F251D" w:themeColor="accent1"/>
    </w:rPr>
  </w:style>
  <w:style w:type="paragraph" w:styleId="Titre5">
    <w:name w:val="heading 5"/>
    <w:basedOn w:val="Normal"/>
    <w:next w:val="Normal"/>
    <w:link w:val="Titre5Car"/>
    <w:uiPriority w:val="4"/>
    <w:semiHidden/>
    <w:unhideWhenUsed/>
    <w:qFormat/>
    <w:rsid w:val="00A122DB"/>
    <w:pPr>
      <w:keepNext/>
      <w:keepLines/>
      <w:spacing w:before="200" w:after="0"/>
      <w:outlineLvl w:val="4"/>
    </w:pPr>
    <w:rPr>
      <w:rFonts w:asciiTheme="majorHAnsi" w:eastAsiaTheme="majorEastAsia" w:hAnsiTheme="majorHAnsi" w:cstheme="majorBidi"/>
      <w:color w:val="1F120E" w:themeColor="accent1" w:themeShade="80"/>
    </w:rPr>
  </w:style>
  <w:style w:type="paragraph" w:styleId="Titre6">
    <w:name w:val="heading 6"/>
    <w:basedOn w:val="Normal"/>
    <w:next w:val="Normal"/>
    <w:link w:val="Titre6Car"/>
    <w:uiPriority w:val="4"/>
    <w:semiHidden/>
    <w:unhideWhenUsed/>
    <w:qFormat/>
    <w:rsid w:val="00A122DB"/>
    <w:pPr>
      <w:keepNext/>
      <w:keepLines/>
      <w:spacing w:before="200" w:after="0"/>
      <w:outlineLvl w:val="5"/>
    </w:pPr>
    <w:rPr>
      <w:rFonts w:asciiTheme="majorHAnsi" w:eastAsiaTheme="majorEastAsia" w:hAnsiTheme="majorHAnsi" w:cstheme="majorBidi"/>
      <w:i/>
      <w:iCs/>
      <w:color w:val="1F120E" w:themeColor="accent1" w:themeShade="7F"/>
    </w:rPr>
  </w:style>
  <w:style w:type="paragraph" w:styleId="Titre8">
    <w:name w:val="heading 8"/>
    <w:basedOn w:val="Normal"/>
    <w:next w:val="Normal"/>
    <w:link w:val="Titre8Car"/>
    <w:uiPriority w:val="4"/>
    <w:semiHidden/>
    <w:unhideWhenUsed/>
    <w:qFormat/>
    <w:rsid w:val="00A122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4"/>
    <w:semiHidden/>
    <w:unhideWhenUsed/>
    <w:qFormat/>
    <w:rsid w:val="00A122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Ombrageclair">
    <w:name w:val="Light Shading"/>
    <w:basedOn w:val="Tableau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4"/>
    <w:qFormat/>
    <w:pPr>
      <w:spacing w:before="360" w:after="0"/>
      <w:contextualSpacing/>
      <w:jc w:val="center"/>
    </w:pPr>
  </w:style>
  <w:style w:type="character" w:customStyle="1" w:styleId="Titre1Car">
    <w:name w:val="Titre 1 Car"/>
    <w:basedOn w:val="Policepardfaut"/>
    <w:link w:val="Titre1"/>
    <w:uiPriority w:val="4"/>
    <w:rsid w:val="00690EFD"/>
    <w:rPr>
      <w:rFonts w:asciiTheme="majorHAnsi" w:eastAsiaTheme="majorEastAsia" w:hAnsiTheme="majorHAnsi" w:cstheme="majorBidi"/>
      <w:color w:val="3F251D" w:themeColor="accent1"/>
      <w:sz w:val="30"/>
      <w:szCs w:val="30"/>
    </w:rPr>
  </w:style>
  <w:style w:type="character" w:customStyle="1" w:styleId="Titre2Car">
    <w:name w:val="Titre 2 Car"/>
    <w:basedOn w:val="Policepardfaut"/>
    <w:link w:val="Titre2"/>
    <w:uiPriority w:val="4"/>
    <w:rsid w:val="00690EFD"/>
    <w:rPr>
      <w:rFonts w:asciiTheme="majorHAnsi" w:eastAsiaTheme="majorEastAsia" w:hAnsiTheme="majorHAnsi" w:cstheme="majorBidi"/>
      <w:caps/>
      <w:color w:val="3F251D" w:themeColor="accent1"/>
      <w:sz w:val="22"/>
      <w:szCs w:val="22"/>
    </w:rPr>
  </w:style>
  <w:style w:type="character" w:customStyle="1" w:styleId="Titre3Car">
    <w:name w:val="Titre 3 Car"/>
    <w:basedOn w:val="Policepardfaut"/>
    <w:link w:val="Titre3"/>
    <w:uiPriority w:val="4"/>
    <w:semiHidden/>
    <w:rsid w:val="00690EFD"/>
    <w:rPr>
      <w:rFonts w:asciiTheme="majorHAnsi" w:eastAsiaTheme="majorEastAsia" w:hAnsiTheme="majorHAnsi" w:cstheme="majorBidi"/>
      <w:color w:val="3F251D" w:themeColor="accent1"/>
      <w:sz w:val="22"/>
      <w:szCs w:val="22"/>
    </w:rPr>
  </w:style>
  <w:style w:type="character" w:customStyle="1" w:styleId="Titre5Car">
    <w:name w:val="Titre 5 Car"/>
    <w:basedOn w:val="Policepardfaut"/>
    <w:link w:val="Titre5"/>
    <w:uiPriority w:val="4"/>
    <w:semiHidden/>
    <w:rsid w:val="00690EFD"/>
    <w:rPr>
      <w:rFonts w:asciiTheme="majorHAnsi" w:eastAsiaTheme="majorEastAsia" w:hAnsiTheme="majorHAnsi" w:cstheme="majorBidi"/>
      <w:color w:val="1F120E" w:themeColor="accent1" w:themeShade="80"/>
    </w:rPr>
  </w:style>
  <w:style w:type="character" w:customStyle="1" w:styleId="Titre6Car">
    <w:name w:val="Titre 6 Car"/>
    <w:basedOn w:val="Policepardfaut"/>
    <w:link w:val="Titre6"/>
    <w:uiPriority w:val="4"/>
    <w:semiHidden/>
    <w:rsid w:val="00690EFD"/>
    <w:rPr>
      <w:rFonts w:asciiTheme="majorHAnsi" w:eastAsiaTheme="majorEastAsia" w:hAnsiTheme="majorHAnsi" w:cstheme="majorBidi"/>
      <w:i/>
      <w:iCs/>
      <w:color w:val="1F120E" w:themeColor="accent1" w:themeShade="7F"/>
    </w:rPr>
  </w:style>
  <w:style w:type="paragraph" w:styleId="Listepuces">
    <w:name w:val="List Bullet"/>
    <w:basedOn w:val="Normal"/>
    <w:uiPriority w:val="7"/>
    <w:unhideWhenUsed/>
    <w:qFormat/>
    <w:pPr>
      <w:numPr>
        <w:numId w:val="5"/>
      </w:numPr>
    </w:pPr>
  </w:style>
  <w:style w:type="paragraph" w:styleId="Listenumros">
    <w:name w:val="List Number"/>
    <w:basedOn w:val="Normal"/>
    <w:uiPriority w:val="5"/>
    <w:unhideWhenUsed/>
    <w:qFormat/>
    <w:pPr>
      <w:numPr>
        <w:numId w:val="6"/>
      </w:numPr>
      <w:contextualSpacing/>
    </w:pPr>
  </w:style>
  <w:style w:type="paragraph" w:styleId="Titre">
    <w:name w:val="Title"/>
    <w:basedOn w:val="Normal"/>
    <w:link w:val="TitreCar"/>
    <w:uiPriority w:val="2"/>
    <w:unhideWhenUsed/>
    <w:qFormat/>
    <w:rsid w:val="00FD1504"/>
    <w:pPr>
      <w:spacing w:before="440" w:after="40" w:line="240" w:lineRule="auto"/>
      <w:contextualSpacing/>
      <w:jc w:val="center"/>
    </w:pPr>
    <w:rPr>
      <w:rFonts w:asciiTheme="majorHAnsi" w:eastAsiaTheme="majorEastAsia" w:hAnsiTheme="majorHAnsi" w:cstheme="majorBidi"/>
      <w:color w:val="3F251D" w:themeColor="accent1"/>
      <w:kern w:val="28"/>
      <w:sz w:val="60"/>
      <w:szCs w:val="60"/>
    </w:rPr>
  </w:style>
  <w:style w:type="character" w:customStyle="1" w:styleId="TitreCar">
    <w:name w:val="Titre Car"/>
    <w:basedOn w:val="Policepardfaut"/>
    <w:link w:val="Titre"/>
    <w:uiPriority w:val="2"/>
    <w:rsid w:val="00FD1504"/>
    <w:rPr>
      <w:rFonts w:asciiTheme="majorHAnsi" w:eastAsiaTheme="majorEastAsia" w:hAnsiTheme="majorHAnsi" w:cstheme="majorBidi"/>
      <w:color w:val="3F251D" w:themeColor="accent1"/>
      <w:kern w:val="28"/>
      <w:sz w:val="60"/>
      <w:szCs w:val="60"/>
    </w:rPr>
  </w:style>
  <w:style w:type="paragraph" w:styleId="Sous-titre">
    <w:name w:val="Subtitle"/>
    <w:basedOn w:val="Normal"/>
    <w:link w:val="Sous-titreCar"/>
    <w:uiPriority w:val="3"/>
    <w:unhideWhenUsed/>
    <w:qFormat/>
    <w:rsid w:val="00FD1504"/>
    <w:pPr>
      <w:numPr>
        <w:ilvl w:val="1"/>
      </w:numPr>
      <w:spacing w:before="300" w:after="40"/>
      <w:contextualSpacing/>
      <w:jc w:val="center"/>
    </w:pPr>
    <w:rPr>
      <w:rFonts w:asciiTheme="majorHAnsi" w:eastAsiaTheme="majorEastAsia" w:hAnsiTheme="majorHAnsi" w:cstheme="majorBidi"/>
      <w:caps/>
      <w:sz w:val="26"/>
      <w:szCs w:val="26"/>
    </w:rPr>
  </w:style>
  <w:style w:type="character" w:customStyle="1" w:styleId="Sous-titreCar">
    <w:name w:val="Sous-titre Car"/>
    <w:basedOn w:val="Policepardfaut"/>
    <w:link w:val="Sous-titre"/>
    <w:uiPriority w:val="3"/>
    <w:rsid w:val="00FD1504"/>
    <w:rPr>
      <w:rFonts w:asciiTheme="majorHAnsi" w:eastAsiaTheme="majorEastAsia" w:hAnsiTheme="majorHAnsi" w:cstheme="majorBidi"/>
      <w:caps/>
      <w:sz w:val="26"/>
      <w:szCs w:val="26"/>
    </w:rPr>
  </w:style>
  <w:style w:type="paragraph" w:customStyle="1" w:styleId="Photo">
    <w:name w:val="Photo"/>
    <w:basedOn w:val="Normal"/>
    <w:uiPriority w:val="1"/>
    <w:qFormat/>
    <w:rsid w:val="00D5413C"/>
    <w:pPr>
      <w:spacing w:before="2400" w:after="400"/>
      <w:jc w:val="center"/>
    </w:pPr>
  </w:style>
  <w:style w:type="paragraph" w:styleId="Lgende">
    <w:name w:val="caption"/>
    <w:basedOn w:val="Normal"/>
    <w:next w:val="Normal"/>
    <w:uiPriority w:val="2"/>
    <w:semiHidden/>
    <w:unhideWhenUsed/>
    <w:qFormat/>
    <w:rsid w:val="00A122DB"/>
    <w:pPr>
      <w:spacing w:before="0" w:line="240" w:lineRule="auto"/>
    </w:pPr>
    <w:rPr>
      <w:i/>
      <w:iCs/>
      <w:szCs w:val="18"/>
    </w:rPr>
  </w:style>
  <w:style w:type="character" w:customStyle="1" w:styleId="Titre9Car">
    <w:name w:val="Titre 9 Car"/>
    <w:basedOn w:val="Policepardfaut"/>
    <w:link w:val="Titre9"/>
    <w:uiPriority w:val="4"/>
    <w:semiHidden/>
    <w:rsid w:val="00A122DB"/>
    <w:rPr>
      <w:rFonts w:asciiTheme="majorHAnsi" w:eastAsiaTheme="majorEastAsia" w:hAnsiTheme="majorHAnsi" w:cstheme="majorBidi"/>
      <w:i/>
      <w:iCs/>
      <w:color w:val="272727" w:themeColor="text1" w:themeTint="D8"/>
      <w:szCs w:val="21"/>
    </w:rPr>
  </w:style>
  <w:style w:type="character" w:customStyle="1" w:styleId="Titre8Car">
    <w:name w:val="Titre 8 Car"/>
    <w:basedOn w:val="Policepardfaut"/>
    <w:link w:val="Titre8"/>
    <w:uiPriority w:val="4"/>
    <w:semiHidden/>
    <w:rsid w:val="00A122DB"/>
    <w:rPr>
      <w:rFonts w:asciiTheme="majorHAnsi" w:eastAsiaTheme="majorEastAsia" w:hAnsiTheme="majorHAnsi" w:cstheme="majorBidi"/>
      <w:color w:val="272727" w:themeColor="text1" w:themeTint="D8"/>
      <w:szCs w:val="21"/>
    </w:rPr>
  </w:style>
  <w:style w:type="paragraph" w:styleId="En-ttedetabledesmatires">
    <w:name w:val="TOC Heading"/>
    <w:basedOn w:val="Titre1"/>
    <w:next w:val="Normal"/>
    <w:uiPriority w:val="39"/>
    <w:unhideWhenUsed/>
    <w:qFormat/>
    <w:pPr>
      <w:spacing w:before="0"/>
      <w:outlineLvl w:val="9"/>
    </w:pPr>
  </w:style>
  <w:style w:type="paragraph" w:styleId="Pieddepage">
    <w:name w:val="footer"/>
    <w:basedOn w:val="Normal"/>
    <w:link w:val="PieddepageCar"/>
    <w:uiPriority w:val="99"/>
    <w:unhideWhenUsed/>
    <w:rsid w:val="003422FF"/>
    <w:pPr>
      <w:spacing w:before="0" w:after="0" w:line="240" w:lineRule="auto"/>
      <w:jc w:val="right"/>
    </w:pPr>
    <w:rPr>
      <w:szCs w:val="16"/>
    </w:rPr>
  </w:style>
  <w:style w:type="character" w:customStyle="1" w:styleId="PieddepageCar">
    <w:name w:val="Pied de page Car"/>
    <w:basedOn w:val="Policepardfaut"/>
    <w:link w:val="Pieddepage"/>
    <w:uiPriority w:val="99"/>
    <w:rsid w:val="003422FF"/>
    <w:rPr>
      <w:sz w:val="22"/>
      <w:szCs w:val="16"/>
    </w:rPr>
  </w:style>
  <w:style w:type="paragraph" w:styleId="TM3">
    <w:name w:val="toc 3"/>
    <w:basedOn w:val="Normal"/>
    <w:next w:val="Normal"/>
    <w:autoRedefine/>
    <w:uiPriority w:val="39"/>
    <w:semiHidden/>
    <w:unhideWhenUsed/>
    <w:pPr>
      <w:spacing w:after="100"/>
      <w:ind w:left="400"/>
    </w:pPr>
    <w:rPr>
      <w:i/>
      <w:iCs/>
    </w:rPr>
  </w:style>
  <w:style w:type="paragraph" w:styleId="TM1">
    <w:name w:val="toc 1"/>
    <w:basedOn w:val="Normal"/>
    <w:next w:val="Normal"/>
    <w:autoRedefine/>
    <w:uiPriority w:val="39"/>
    <w:unhideWhenUsed/>
    <w:pPr>
      <w:spacing w:after="100"/>
    </w:pPr>
  </w:style>
  <w:style w:type="paragraph" w:styleId="TM2">
    <w:name w:val="toc 2"/>
    <w:basedOn w:val="Normal"/>
    <w:next w:val="Normal"/>
    <w:autoRedefine/>
    <w:uiPriority w:val="39"/>
    <w:unhideWhenUsed/>
    <w:pPr>
      <w:spacing w:after="100"/>
      <w:ind w:left="200"/>
    </w:pPr>
  </w:style>
  <w:style w:type="paragraph" w:styleId="Textedebulles">
    <w:name w:val="Balloon Text"/>
    <w:basedOn w:val="Normal"/>
    <w:link w:val="TextedebullesCar"/>
    <w:uiPriority w:val="99"/>
    <w:semiHidden/>
    <w:unhideWhenUsed/>
    <w:rsid w:val="00A122DB"/>
    <w:pPr>
      <w:spacing w:after="0" w:line="240" w:lineRule="auto"/>
    </w:pPr>
    <w:rPr>
      <w:rFonts w:ascii="Tahoma" w:hAnsi="Tahoma" w:cs="Tahoma"/>
      <w:szCs w:val="16"/>
    </w:rPr>
  </w:style>
  <w:style w:type="character" w:customStyle="1" w:styleId="TextedebullesCar">
    <w:name w:val="Texte de bulles Car"/>
    <w:basedOn w:val="Policepardfaut"/>
    <w:link w:val="Textedebulles"/>
    <w:uiPriority w:val="99"/>
    <w:semiHidden/>
    <w:rsid w:val="00A122DB"/>
    <w:rPr>
      <w:rFonts w:ascii="Tahoma" w:hAnsi="Tahoma" w:cs="Tahoma"/>
      <w:szCs w:val="16"/>
    </w:rPr>
  </w:style>
  <w:style w:type="paragraph" w:styleId="Bibliographie">
    <w:name w:val="Bibliography"/>
    <w:basedOn w:val="Normal"/>
    <w:next w:val="Normal"/>
    <w:uiPriority w:val="39"/>
    <w:semiHidden/>
    <w:unhideWhenUsed/>
  </w:style>
  <w:style w:type="paragraph" w:styleId="Corpsdetexte3">
    <w:name w:val="Body Text 3"/>
    <w:basedOn w:val="Normal"/>
    <w:link w:val="Corpsdetexte3Car"/>
    <w:uiPriority w:val="99"/>
    <w:semiHidden/>
    <w:unhideWhenUsed/>
    <w:rsid w:val="00A122DB"/>
    <w:pPr>
      <w:spacing w:after="120"/>
    </w:pPr>
    <w:rPr>
      <w:szCs w:val="16"/>
    </w:rPr>
  </w:style>
  <w:style w:type="table" w:customStyle="1" w:styleId="ReportTable">
    <w:name w:val="Report Table"/>
    <w:basedOn w:val="TableauNormal"/>
    <w:uiPriority w:val="99"/>
    <w:pPr>
      <w:spacing w:before="60" w:after="60" w:line="240" w:lineRule="auto"/>
      <w:jc w:val="center"/>
    </w:pPr>
    <w:tblPr>
      <w:tblBorders>
        <w:top w:val="single" w:sz="4" w:space="0" w:color="3F251D" w:themeColor="accent1"/>
        <w:left w:val="single" w:sz="4" w:space="0" w:color="3F251D" w:themeColor="accent1"/>
        <w:bottom w:val="single" w:sz="4" w:space="0" w:color="3F251D" w:themeColor="accent1"/>
        <w:right w:val="single" w:sz="4" w:space="0" w:color="3F251D" w:themeColor="accent1"/>
        <w:insideH w:val="single" w:sz="4" w:space="0" w:color="3F251D" w:themeColor="accent1"/>
        <w:insideV w:val="single" w:sz="4" w:space="0" w:color="3F251D"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Grilledutableau">
    <w:name w:val="Table Grid"/>
    <w:basedOn w:val="Tableau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A2000"/>
    <w:pPr>
      <w:spacing w:before="0" w:after="0" w:line="240" w:lineRule="auto"/>
    </w:pPr>
  </w:style>
  <w:style w:type="character" w:customStyle="1" w:styleId="En-tteCar">
    <w:name w:val="En-tête Car"/>
    <w:basedOn w:val="Policepardfaut"/>
    <w:link w:val="En-tte"/>
    <w:uiPriority w:val="99"/>
    <w:rsid w:val="001A2000"/>
  </w:style>
  <w:style w:type="character" w:customStyle="1" w:styleId="Corpsdetexte3Car">
    <w:name w:val="Corps de texte 3 Car"/>
    <w:basedOn w:val="Policepardfaut"/>
    <w:link w:val="Corpsdetexte3"/>
    <w:uiPriority w:val="99"/>
    <w:semiHidden/>
    <w:rsid w:val="00A122DB"/>
    <w:rPr>
      <w:szCs w:val="16"/>
    </w:rPr>
  </w:style>
  <w:style w:type="character" w:styleId="Marquedecommentaire">
    <w:name w:val="annotation reference"/>
    <w:basedOn w:val="Policepardfaut"/>
    <w:uiPriority w:val="99"/>
    <w:semiHidden/>
    <w:unhideWhenUsed/>
    <w:rPr>
      <w:sz w:val="16"/>
      <w:szCs w:val="16"/>
    </w:rPr>
  </w:style>
  <w:style w:type="paragraph" w:styleId="Retraitcorpsdetexte3">
    <w:name w:val="Body Text Indent 3"/>
    <w:basedOn w:val="Normal"/>
    <w:link w:val="Retraitcorpsdetexte3Car"/>
    <w:uiPriority w:val="99"/>
    <w:semiHidden/>
    <w:unhideWhenUsed/>
    <w:rsid w:val="00A122DB"/>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A122DB"/>
    <w:rPr>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sid w:val="00A122DB"/>
    <w:rPr>
      <w:szCs w:val="20"/>
    </w:rPr>
  </w:style>
  <w:style w:type="paragraph" w:styleId="Objetducommentaire">
    <w:name w:val="annotation subject"/>
    <w:basedOn w:val="Commentaire"/>
    <w:next w:val="Commentaire"/>
    <w:link w:val="ObjetducommentaireCar"/>
    <w:uiPriority w:val="99"/>
    <w:semiHidden/>
    <w:unhideWhenUsed/>
    <w:rsid w:val="00A122DB"/>
    <w:rPr>
      <w:b/>
      <w:bCs/>
    </w:rPr>
  </w:style>
  <w:style w:type="character" w:customStyle="1" w:styleId="ObjetducommentaireCar">
    <w:name w:val="Objet du commentaire Car"/>
    <w:basedOn w:val="CommentaireCar"/>
    <w:link w:val="Objetducommentaire"/>
    <w:uiPriority w:val="99"/>
    <w:semiHidden/>
    <w:rsid w:val="00A122DB"/>
    <w:rPr>
      <w:b/>
      <w:bCs/>
      <w:szCs w:val="20"/>
    </w:rPr>
  </w:style>
  <w:style w:type="paragraph" w:styleId="Explorateurdedocuments">
    <w:name w:val="Document Map"/>
    <w:basedOn w:val="Normal"/>
    <w:link w:val="ExplorateurdedocumentsCar"/>
    <w:uiPriority w:val="99"/>
    <w:semiHidden/>
    <w:unhideWhenUsed/>
    <w:rsid w:val="00A122DB"/>
    <w:pPr>
      <w:spacing w:before="0" w:after="0"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A122DB"/>
    <w:rPr>
      <w:rFonts w:ascii="Segoe UI" w:hAnsi="Segoe UI" w:cs="Segoe UI"/>
      <w:szCs w:val="16"/>
    </w:rPr>
  </w:style>
  <w:style w:type="paragraph" w:styleId="Notedefin">
    <w:name w:val="endnote text"/>
    <w:basedOn w:val="Normal"/>
    <w:link w:val="NotedefinCar"/>
    <w:uiPriority w:val="99"/>
    <w:semiHidden/>
    <w:unhideWhenUsed/>
    <w:rsid w:val="00A122DB"/>
    <w:pPr>
      <w:spacing w:before="0" w:after="0" w:line="240" w:lineRule="auto"/>
    </w:pPr>
    <w:rPr>
      <w:szCs w:val="20"/>
    </w:rPr>
  </w:style>
  <w:style w:type="character" w:customStyle="1" w:styleId="NotedefinCar">
    <w:name w:val="Note de fin Car"/>
    <w:basedOn w:val="Policepardfaut"/>
    <w:link w:val="Notedefin"/>
    <w:uiPriority w:val="99"/>
    <w:semiHidden/>
    <w:rsid w:val="00A122DB"/>
    <w:rPr>
      <w:szCs w:val="20"/>
    </w:rPr>
  </w:style>
  <w:style w:type="paragraph" w:styleId="Adresseexpditeur">
    <w:name w:val="envelope return"/>
    <w:basedOn w:val="Normal"/>
    <w:uiPriority w:val="99"/>
    <w:semiHidden/>
    <w:unhideWhenUsed/>
    <w:rsid w:val="00A122DB"/>
    <w:pPr>
      <w:spacing w:before="0" w:after="0" w:line="240" w:lineRule="auto"/>
    </w:pPr>
    <w:rPr>
      <w:rFonts w:asciiTheme="majorHAnsi" w:eastAsiaTheme="majorEastAsia" w:hAnsiTheme="majorHAnsi" w:cstheme="majorBidi"/>
      <w:szCs w:val="20"/>
    </w:rPr>
  </w:style>
  <w:style w:type="paragraph" w:styleId="Notedebasdepage">
    <w:name w:val="footnote text"/>
    <w:basedOn w:val="Normal"/>
    <w:link w:val="NotedebasdepageCar"/>
    <w:uiPriority w:val="99"/>
    <w:semiHidden/>
    <w:unhideWhenUsed/>
    <w:rsid w:val="00A122DB"/>
    <w:pPr>
      <w:spacing w:before="0" w:after="0" w:line="240" w:lineRule="auto"/>
    </w:pPr>
    <w:rPr>
      <w:szCs w:val="20"/>
    </w:rPr>
  </w:style>
  <w:style w:type="character" w:customStyle="1" w:styleId="NotedebasdepageCar">
    <w:name w:val="Note de bas de page Car"/>
    <w:basedOn w:val="Policepardfaut"/>
    <w:link w:val="Notedebasdepage"/>
    <w:uiPriority w:val="99"/>
    <w:semiHidden/>
    <w:rsid w:val="00A122DB"/>
    <w:rPr>
      <w:szCs w:val="20"/>
    </w:rPr>
  </w:style>
  <w:style w:type="character" w:styleId="CodeHTML">
    <w:name w:val="HTML Code"/>
    <w:basedOn w:val="Policepardfaut"/>
    <w:uiPriority w:val="99"/>
    <w:semiHidden/>
    <w:unhideWhenUsed/>
    <w:rsid w:val="00A122DB"/>
    <w:rPr>
      <w:rFonts w:ascii="Consolas" w:hAnsi="Consolas"/>
      <w:sz w:val="22"/>
      <w:szCs w:val="20"/>
    </w:rPr>
  </w:style>
  <w:style w:type="paragraph" w:styleId="PrformatHTML">
    <w:name w:val="HTML Preformatted"/>
    <w:basedOn w:val="Normal"/>
    <w:link w:val="PrformatHTMLCar"/>
    <w:uiPriority w:val="99"/>
    <w:semiHidden/>
    <w:unhideWhenUsed/>
    <w:rsid w:val="00A122DB"/>
    <w:pPr>
      <w:spacing w:before="0" w:after="0" w:line="240" w:lineRule="auto"/>
    </w:pPr>
    <w:rPr>
      <w:rFonts w:ascii="Consolas" w:hAnsi="Consolas"/>
      <w:szCs w:val="20"/>
    </w:rPr>
  </w:style>
  <w:style w:type="character" w:customStyle="1" w:styleId="PrformatHTMLCar">
    <w:name w:val="Préformaté HTML Car"/>
    <w:basedOn w:val="Policepardfaut"/>
    <w:link w:val="PrformatHTML"/>
    <w:uiPriority w:val="99"/>
    <w:semiHidden/>
    <w:rsid w:val="00A122DB"/>
    <w:rPr>
      <w:rFonts w:ascii="Consolas" w:hAnsi="Consolas"/>
      <w:szCs w:val="20"/>
    </w:rPr>
  </w:style>
  <w:style w:type="character" w:styleId="ClavierHTML">
    <w:name w:val="HTML Keyboard"/>
    <w:basedOn w:val="Policepardfaut"/>
    <w:uiPriority w:val="99"/>
    <w:semiHidden/>
    <w:unhideWhenUsed/>
    <w:rsid w:val="00A122DB"/>
    <w:rPr>
      <w:rFonts w:ascii="Consolas" w:hAnsi="Consolas"/>
      <w:sz w:val="22"/>
      <w:szCs w:val="20"/>
    </w:rPr>
  </w:style>
  <w:style w:type="character" w:styleId="MachinecrireHTML">
    <w:name w:val="HTML Typewriter"/>
    <w:basedOn w:val="Policepardfaut"/>
    <w:uiPriority w:val="99"/>
    <w:semiHidden/>
    <w:unhideWhenUsed/>
    <w:rsid w:val="00A122DB"/>
    <w:rPr>
      <w:rFonts w:ascii="Consolas" w:hAnsi="Consolas"/>
      <w:sz w:val="22"/>
      <w:szCs w:val="20"/>
    </w:rPr>
  </w:style>
  <w:style w:type="paragraph" w:styleId="Textedemacro">
    <w:name w:val="macro"/>
    <w:link w:val="TextedemacroCar"/>
    <w:uiPriority w:val="99"/>
    <w:semiHidden/>
    <w:unhideWhenUsed/>
    <w:rsid w:val="00A122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edemacroCar">
    <w:name w:val="Texte de macro Car"/>
    <w:basedOn w:val="Policepardfaut"/>
    <w:link w:val="Textedemacro"/>
    <w:uiPriority w:val="99"/>
    <w:semiHidden/>
    <w:rsid w:val="00A122DB"/>
    <w:rPr>
      <w:rFonts w:ascii="Consolas" w:hAnsi="Consolas"/>
      <w:szCs w:val="20"/>
    </w:rPr>
  </w:style>
  <w:style w:type="paragraph" w:styleId="Textebrut">
    <w:name w:val="Plain Text"/>
    <w:basedOn w:val="Normal"/>
    <w:link w:val="TextebrutCar"/>
    <w:uiPriority w:val="99"/>
    <w:semiHidden/>
    <w:unhideWhenUsed/>
    <w:rsid w:val="00A122DB"/>
    <w:pPr>
      <w:spacing w:before="0" w:after="0" w:line="240" w:lineRule="auto"/>
    </w:pPr>
    <w:rPr>
      <w:rFonts w:ascii="Consolas" w:hAnsi="Consolas"/>
      <w:szCs w:val="21"/>
    </w:rPr>
  </w:style>
  <w:style w:type="character" w:customStyle="1" w:styleId="TextebrutCar">
    <w:name w:val="Texte brut Car"/>
    <w:basedOn w:val="Policepardfaut"/>
    <w:link w:val="Textebrut"/>
    <w:uiPriority w:val="99"/>
    <w:semiHidden/>
    <w:rsid w:val="00A122DB"/>
    <w:rPr>
      <w:rFonts w:ascii="Consolas" w:hAnsi="Consolas"/>
      <w:szCs w:val="21"/>
    </w:rPr>
  </w:style>
  <w:style w:type="character" w:styleId="Textedelespacerserv">
    <w:name w:val="Placeholder Text"/>
    <w:basedOn w:val="Policepardfaut"/>
    <w:uiPriority w:val="99"/>
    <w:semiHidden/>
    <w:rsid w:val="00A122DB"/>
    <w:rPr>
      <w:color w:val="595959" w:themeColor="text1" w:themeTint="A6"/>
    </w:rPr>
  </w:style>
  <w:style w:type="character" w:styleId="Lienhypertexte">
    <w:name w:val="Hyperlink"/>
    <w:basedOn w:val="Policepardfaut"/>
    <w:uiPriority w:val="99"/>
    <w:unhideWhenUsed/>
    <w:rsid w:val="00587406"/>
    <w:rPr>
      <w:color w:val="993E21" w:themeColor="hyperlink"/>
      <w:u w:val="single"/>
    </w:rPr>
  </w:style>
  <w:style w:type="paragraph" w:styleId="Paragraphedeliste">
    <w:name w:val="List Paragraph"/>
    <w:basedOn w:val="Normal"/>
    <w:uiPriority w:val="34"/>
    <w:qFormat/>
    <w:rsid w:val="00BA5FD3"/>
    <w:pPr>
      <w:spacing w:before="0" w:line="276" w:lineRule="auto"/>
      <w:ind w:left="720"/>
      <w:contextualSpacing/>
    </w:pPr>
    <w:rPr>
      <w:rFonts w:eastAsiaTheme="minorHAnsi"/>
      <w:color w:val="auto"/>
      <w:lang w:eastAsia="en-US"/>
    </w:rPr>
  </w:style>
  <w:style w:type="character" w:customStyle="1" w:styleId="tw4winMark">
    <w:name w:val="tw4winMark"/>
    <w:rsid w:val="00C6267D"/>
    <w:rPr>
      <w:rFonts w:ascii="Courier New" w:hAnsi="Courier New" w:cs="Courier New"/>
      <w:vanish/>
      <w:color w:val="800080"/>
      <w:sz w:val="24"/>
      <w:vertAlign w:val="subscript"/>
    </w:rPr>
  </w:style>
  <w:style w:type="character" w:customStyle="1" w:styleId="tw4winTerm">
    <w:name w:val="tw4winTerm"/>
    <w:rsid w:val="00C6267D"/>
    <w:rPr>
      <w:color w:val="FF6600"/>
      <w:sz w:val="24"/>
    </w:rPr>
  </w:style>
  <w:style w:type="character" w:customStyle="1" w:styleId="fusionSegmentGuarded">
    <w:name w:val="fusionSegmentGuarded"/>
    <w:rsid w:val="00C6267D"/>
    <w:rPr>
      <w:rFonts w:ascii="Courier New" w:hAnsi="Courier New" w:cs="Courier New"/>
      <w:vanish/>
      <w:color w:val="FF0000"/>
      <w:sz w:val="24"/>
      <w:shd w:val="clear" w:color="auto" w:fill="FFCC00"/>
      <w:vertAlign w:val="subscript"/>
    </w:rPr>
  </w:style>
  <w:style w:type="character" w:customStyle="1" w:styleId="fusionSegmentForReview">
    <w:name w:val="fusionSegmentForReview"/>
    <w:rsid w:val="00C6267D"/>
    <w:rPr>
      <w:rFonts w:ascii="Courier New" w:hAnsi="Courier New" w:cs="Courier New"/>
      <w:vanish/>
      <w:color w:val="800080"/>
      <w:sz w:val="24"/>
      <w:shd w:val="clear" w:color="auto" w:fill="FFFF99"/>
      <w:vertAlign w:val="subscript"/>
    </w:rPr>
  </w:style>
  <w:style w:type="character" w:customStyle="1" w:styleId="fusionSegment">
    <w:name w:val="fusionSegment"/>
    <w:rsid w:val="00CB229F"/>
    <w:rPr>
      <w:rFonts w:ascii="Courier New" w:hAnsi="Courier New" w:cs="Courier New"/>
      <w:vanish/>
      <w:color w:val="800080"/>
      <w:sz w:val="24"/>
      <w:vertAlign w:val="subscript"/>
    </w:rPr>
  </w:style>
  <w:style w:type="character" w:customStyle="1" w:styleId="fusionTerm">
    <w:name w:val="fusionTerm"/>
    <w:rsid w:val="00CB229F"/>
    <w:rPr>
      <w:color w:val="FF66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59535">
      <w:bodyDiv w:val="1"/>
      <w:marLeft w:val="0"/>
      <w:marRight w:val="0"/>
      <w:marTop w:val="0"/>
      <w:marBottom w:val="0"/>
      <w:divBdr>
        <w:top w:val="none" w:sz="0" w:space="0" w:color="auto"/>
        <w:left w:val="none" w:sz="0" w:space="0" w:color="auto"/>
        <w:bottom w:val="none" w:sz="0" w:space="0" w:color="auto"/>
        <w:right w:val="none" w:sz="0" w:space="0" w:color="auto"/>
      </w:divBdr>
    </w:div>
    <w:div w:id="708065730">
      <w:bodyDiv w:val="1"/>
      <w:marLeft w:val="0"/>
      <w:marRight w:val="0"/>
      <w:marTop w:val="0"/>
      <w:marBottom w:val="0"/>
      <w:divBdr>
        <w:top w:val="none" w:sz="0" w:space="0" w:color="auto"/>
        <w:left w:val="none" w:sz="0" w:space="0" w:color="auto"/>
        <w:bottom w:val="none" w:sz="0" w:space="0" w:color="auto"/>
        <w:right w:val="none" w:sz="0" w:space="0" w:color="auto"/>
      </w:divBdr>
    </w:div>
    <w:div w:id="1164004990">
      <w:bodyDiv w:val="1"/>
      <w:marLeft w:val="0"/>
      <w:marRight w:val="0"/>
      <w:marTop w:val="0"/>
      <w:marBottom w:val="0"/>
      <w:divBdr>
        <w:top w:val="none" w:sz="0" w:space="0" w:color="auto"/>
        <w:left w:val="none" w:sz="0" w:space="0" w:color="auto"/>
        <w:bottom w:val="none" w:sz="0" w:space="0" w:color="auto"/>
        <w:right w:val="none" w:sz="0" w:space="0" w:color="auto"/>
      </w:divBdr>
    </w:div>
    <w:div w:id="1289243207">
      <w:bodyDiv w:val="1"/>
      <w:marLeft w:val="0"/>
      <w:marRight w:val="0"/>
      <w:marTop w:val="0"/>
      <w:marBottom w:val="0"/>
      <w:divBdr>
        <w:top w:val="none" w:sz="0" w:space="0" w:color="auto"/>
        <w:left w:val="none" w:sz="0" w:space="0" w:color="auto"/>
        <w:bottom w:val="none" w:sz="0" w:space="0" w:color="auto"/>
        <w:right w:val="none" w:sz="0" w:space="0" w:color="auto"/>
      </w:divBdr>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64858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8474\AppData\Roaming\Microsoft\Templates\Student%20report%20with%20cover.dotx" TargetMode="External"/></Relationships>
</file>

<file path=word/theme/theme1.xml><?xml version="1.0" encoding="utf-8"?>
<a:theme xmlns:a="http://schemas.openxmlformats.org/drawingml/2006/main" name="Student Report">
  <a:themeElements>
    <a:clrScheme name="Student Report">
      <a:dk1>
        <a:sysClr val="windowText" lastClr="000000"/>
      </a:dk1>
      <a:lt1>
        <a:sysClr val="window" lastClr="FFFFFF"/>
      </a:lt1>
      <a:dk2>
        <a:srgbClr val="4D322D"/>
      </a:dk2>
      <a:lt2>
        <a:srgbClr val="EFF4EC"/>
      </a:lt2>
      <a:accent1>
        <a:srgbClr val="3F251D"/>
      </a:accent1>
      <a:accent2>
        <a:srgbClr val="76A35D"/>
      </a:accent2>
      <a:accent3>
        <a:srgbClr val="CD532D"/>
      </a:accent3>
      <a:accent4>
        <a:srgbClr val="C78600"/>
      </a:accent4>
      <a:accent5>
        <a:srgbClr val="864F3D"/>
      </a:accent5>
      <a:accent6>
        <a:srgbClr val="5F7791"/>
      </a:accent6>
      <a:hlink>
        <a:srgbClr val="993E21"/>
      </a:hlink>
      <a:folHlink>
        <a:srgbClr val="95640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6E7D0-21AC-42B2-935E-605EEF31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Template>
  <TotalTime>10</TotalTime>
  <Pages>22</Pages>
  <Words>4671</Words>
  <Characters>25693</Characters>
  <Application>Microsoft Office Word</Application>
  <DocSecurity>0</DocSecurity>
  <Lines>214</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Maguire, Kimberley (TB/CT)</dc:creator>
  <cp:keywords/>
  <cp:lastModifiedBy>Boudreau-Lague, Josette (SNB)</cp:lastModifiedBy>
  <cp:revision>3</cp:revision>
  <dcterms:created xsi:type="dcterms:W3CDTF">2019-05-02T12:50:00Z</dcterms:created>
  <dcterms:modified xsi:type="dcterms:W3CDTF">2019-05-02T13:03:00Z</dcterms:modified>
  <cp:version/>
</cp:coreProperties>
</file>